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DF1" w:rsidRPr="00C362DA" w:rsidRDefault="00C362DA" w:rsidP="00C4116E">
      <w:pPr>
        <w:spacing w:before="480" w:after="240" w:line="240" w:lineRule="auto"/>
        <w:jc w:val="center"/>
        <w:rPr>
          <w:rFonts w:ascii="Times New Roman" w:hAnsi="Times New Roman" w:cs="Times New Roman"/>
          <w:b/>
          <w:sz w:val="22"/>
          <w:lang w:val="en-GB"/>
        </w:rPr>
      </w:pPr>
      <w:r w:rsidRPr="00C362DA">
        <w:rPr>
          <w:rFonts w:ascii="Times New Roman" w:hAnsi="Times New Roman" w:cs="Times New Roman"/>
          <w:b/>
          <w:sz w:val="22"/>
          <w:lang w:val="en-GB"/>
        </w:rPr>
        <w:t>TAX TO GDP RATIO</w:t>
      </w:r>
    </w:p>
    <w:p w:rsidR="00B17CEA" w:rsidRDefault="00B17CEA" w:rsidP="00C4116E">
      <w:pPr>
        <w:spacing w:after="240" w:line="240" w:lineRule="auto"/>
        <w:jc w:val="both"/>
        <w:rPr>
          <w:rFonts w:ascii="Times New Roman" w:hAnsi="Times New Roman" w:cs="Times New Roman"/>
          <w:b/>
          <w:i/>
          <w:sz w:val="22"/>
          <w:lang w:val="en-GB"/>
        </w:rPr>
      </w:pPr>
    </w:p>
    <w:p w:rsidR="00C362DA" w:rsidRPr="00B17CEA" w:rsidRDefault="00B53DF1" w:rsidP="00C4116E">
      <w:pPr>
        <w:spacing w:after="240" w:line="240" w:lineRule="auto"/>
        <w:jc w:val="both"/>
        <w:rPr>
          <w:rFonts w:ascii="Times New Roman" w:hAnsi="Times New Roman" w:cs="Times New Roman"/>
          <w:i/>
          <w:sz w:val="22"/>
          <w:lang w:val="en-GB"/>
        </w:rPr>
      </w:pPr>
      <w:r w:rsidRPr="00B17CEA">
        <w:rPr>
          <w:rFonts w:ascii="Times New Roman" w:hAnsi="Times New Roman" w:cs="Times New Roman"/>
          <w:b/>
          <w:i/>
          <w:sz w:val="22"/>
          <w:lang w:val="en-GB"/>
        </w:rPr>
        <w:t xml:space="preserve">Goal and target </w:t>
      </w:r>
      <w:r w:rsidR="00B81EBA" w:rsidRPr="00B17CEA">
        <w:rPr>
          <w:rFonts w:ascii="Times New Roman" w:hAnsi="Times New Roman" w:cs="Times New Roman"/>
          <w:b/>
          <w:i/>
          <w:sz w:val="22"/>
          <w:lang w:val="en-GB"/>
        </w:rPr>
        <w:t>addresse</w:t>
      </w:r>
      <w:r w:rsidR="00C362DA" w:rsidRPr="00B17CEA">
        <w:rPr>
          <w:rFonts w:ascii="Times New Roman" w:hAnsi="Times New Roman" w:cs="Times New Roman"/>
          <w:b/>
          <w:i/>
          <w:sz w:val="22"/>
          <w:lang w:val="en-GB"/>
        </w:rPr>
        <w:t>d</w:t>
      </w:r>
    </w:p>
    <w:p w:rsidR="00C362DA" w:rsidRPr="00C362DA" w:rsidRDefault="00C362DA" w:rsidP="00C4116E">
      <w:pPr>
        <w:autoSpaceDE w:val="0"/>
        <w:autoSpaceDN w:val="0"/>
        <w:adjustRightInd w:val="0"/>
        <w:spacing w:after="240" w:line="240" w:lineRule="auto"/>
        <w:ind w:firstLine="851"/>
        <w:rPr>
          <w:rFonts w:ascii="Times New Roman" w:hAnsi="Times New Roman" w:cs="Times New Roman"/>
          <w:sz w:val="22"/>
          <w:lang w:val="en-GB"/>
        </w:rPr>
      </w:pPr>
      <w:r w:rsidRPr="00C362DA">
        <w:rPr>
          <w:rFonts w:ascii="Times New Roman" w:hAnsi="Times New Roman" w:cs="Times New Roman"/>
          <w:sz w:val="22"/>
          <w:lang w:val="en-GB"/>
        </w:rPr>
        <w:t xml:space="preserve">Goal 17: </w:t>
      </w:r>
      <w:r w:rsidR="00B17CEA">
        <w:rPr>
          <w:rFonts w:ascii="Times New Roman" w:hAnsi="Times New Roman" w:cs="Times New Roman"/>
          <w:sz w:val="22"/>
          <w:lang w:val="en-GB"/>
        </w:rPr>
        <w:tab/>
      </w:r>
      <w:r w:rsidRPr="00C362DA">
        <w:rPr>
          <w:rFonts w:ascii="Times New Roman" w:hAnsi="Times New Roman" w:cs="Times New Roman"/>
          <w:sz w:val="22"/>
          <w:lang w:val="en-GB"/>
        </w:rPr>
        <w:t>Strengthen the means of implementation and revitalize the global partnership for sustainable development</w:t>
      </w:r>
      <w:r w:rsidR="006A115A">
        <w:rPr>
          <w:rFonts w:ascii="Times New Roman" w:hAnsi="Times New Roman" w:cs="Times New Roman"/>
          <w:sz w:val="22"/>
          <w:lang w:val="en-GB"/>
        </w:rPr>
        <w:t>.</w:t>
      </w:r>
    </w:p>
    <w:p w:rsidR="00C362DA" w:rsidRPr="00C362DA" w:rsidRDefault="00C362DA" w:rsidP="00C4116E">
      <w:pPr>
        <w:autoSpaceDE w:val="0"/>
        <w:autoSpaceDN w:val="0"/>
        <w:adjustRightInd w:val="0"/>
        <w:spacing w:after="240" w:line="240" w:lineRule="auto"/>
        <w:ind w:firstLine="851"/>
        <w:rPr>
          <w:rFonts w:ascii="Times New Roman" w:hAnsi="Times New Roman" w:cs="Times New Roman"/>
          <w:sz w:val="22"/>
          <w:lang w:val="en-GB"/>
        </w:rPr>
      </w:pPr>
      <w:r w:rsidRPr="00C362DA">
        <w:rPr>
          <w:rFonts w:ascii="Times New Roman" w:hAnsi="Times New Roman" w:cs="Times New Roman"/>
          <w:sz w:val="22"/>
          <w:lang w:val="en-GB"/>
        </w:rPr>
        <w:t>Target 17.1</w:t>
      </w:r>
      <w:r w:rsidR="00B17CEA">
        <w:rPr>
          <w:rFonts w:ascii="Times New Roman" w:hAnsi="Times New Roman" w:cs="Times New Roman"/>
          <w:sz w:val="22"/>
          <w:lang w:val="en-GB"/>
        </w:rPr>
        <w:t>:</w:t>
      </w:r>
      <w:r w:rsidRPr="00C362DA">
        <w:rPr>
          <w:rFonts w:ascii="Times New Roman" w:hAnsi="Times New Roman" w:cs="Times New Roman"/>
          <w:sz w:val="22"/>
          <w:lang w:val="en-GB"/>
        </w:rPr>
        <w:t xml:space="preserve"> </w:t>
      </w:r>
      <w:r w:rsidR="00B17CEA">
        <w:rPr>
          <w:rFonts w:ascii="Times New Roman" w:hAnsi="Times New Roman" w:cs="Times New Roman"/>
          <w:sz w:val="22"/>
          <w:lang w:val="en-GB"/>
        </w:rPr>
        <w:tab/>
      </w:r>
      <w:r w:rsidRPr="00C362DA">
        <w:rPr>
          <w:rFonts w:ascii="Times New Roman" w:hAnsi="Times New Roman" w:cs="Times New Roman"/>
          <w:sz w:val="22"/>
          <w:lang w:val="en-GB"/>
        </w:rPr>
        <w:t>Strengthen domestic resource mobilization, including through international support to developing countries, to improve domestic capacity for tax and other revenue collection</w:t>
      </w:r>
      <w:r w:rsidR="009938ED">
        <w:rPr>
          <w:rFonts w:ascii="Times New Roman" w:hAnsi="Times New Roman" w:cs="Times New Roman"/>
          <w:sz w:val="22"/>
          <w:lang w:val="en-GB"/>
        </w:rPr>
        <w:t>.</w:t>
      </w:r>
    </w:p>
    <w:p w:rsidR="00C362DA" w:rsidRPr="00C362DA" w:rsidRDefault="00B53DF1" w:rsidP="00C4116E">
      <w:pPr>
        <w:spacing w:before="240" w:after="240" w:line="240" w:lineRule="auto"/>
        <w:jc w:val="both"/>
        <w:rPr>
          <w:rFonts w:ascii="Times New Roman" w:hAnsi="Times New Roman" w:cs="Times New Roman"/>
          <w:b/>
          <w:i/>
          <w:sz w:val="22"/>
          <w:lang w:val="en-GB"/>
        </w:rPr>
      </w:pPr>
      <w:r w:rsidRPr="00C362DA">
        <w:rPr>
          <w:rFonts w:ascii="Times New Roman" w:hAnsi="Times New Roman" w:cs="Times New Roman"/>
          <w:b/>
          <w:i/>
          <w:sz w:val="22"/>
          <w:lang w:val="en-GB"/>
        </w:rPr>
        <w:t>Definition and method of computation</w:t>
      </w:r>
      <w:r w:rsidR="003209BA" w:rsidRPr="00C362DA">
        <w:rPr>
          <w:rFonts w:ascii="Times New Roman" w:hAnsi="Times New Roman" w:cs="Times New Roman"/>
          <w:b/>
          <w:i/>
          <w:sz w:val="22"/>
          <w:lang w:val="en-GB"/>
        </w:rPr>
        <w:t xml:space="preserve"> </w:t>
      </w:r>
    </w:p>
    <w:p w:rsidR="00E86857" w:rsidRPr="00E86857" w:rsidRDefault="008B7637" w:rsidP="00C4116E">
      <w:pPr>
        <w:spacing w:after="240" w:line="240" w:lineRule="auto"/>
        <w:ind w:firstLine="851"/>
        <w:jc w:val="both"/>
        <w:rPr>
          <w:rFonts w:ascii="Times New Roman" w:hAnsi="Times New Roman" w:cs="Times New Roman"/>
          <w:sz w:val="22"/>
          <w:lang w:val="en-GB"/>
        </w:rPr>
      </w:pPr>
      <w:r w:rsidRPr="00E86857">
        <w:rPr>
          <w:rFonts w:ascii="Times New Roman" w:hAnsi="Times New Roman" w:cs="Times New Roman"/>
          <w:sz w:val="22"/>
          <w:lang w:val="en-GB"/>
        </w:rPr>
        <w:t xml:space="preserve">Total taxes </w:t>
      </w:r>
      <w:r w:rsidR="00B17CEA" w:rsidRPr="00E86857">
        <w:rPr>
          <w:rFonts w:ascii="Times New Roman" w:hAnsi="Times New Roman" w:cs="Times New Roman"/>
          <w:sz w:val="22"/>
          <w:lang w:val="en-GB"/>
        </w:rPr>
        <w:t>as a percentage of Gross Domestic Product</w:t>
      </w:r>
      <w:r w:rsidR="005934F3" w:rsidRPr="00E86857">
        <w:rPr>
          <w:rFonts w:ascii="Times New Roman" w:hAnsi="Times New Roman" w:cs="Times New Roman"/>
          <w:sz w:val="22"/>
          <w:lang w:val="en-GB"/>
        </w:rPr>
        <w:t xml:space="preserve"> (GDP)</w:t>
      </w:r>
      <w:r w:rsidR="00B17CEA" w:rsidRPr="00E86857">
        <w:rPr>
          <w:rFonts w:ascii="Times New Roman" w:hAnsi="Times New Roman" w:cs="Times New Roman"/>
          <w:sz w:val="22"/>
          <w:lang w:val="en-GB"/>
        </w:rPr>
        <w:t xml:space="preserve">.  </w:t>
      </w:r>
      <w:r w:rsidRPr="00E86857">
        <w:rPr>
          <w:rFonts w:ascii="Times New Roman" w:hAnsi="Times New Roman" w:cs="Times New Roman"/>
          <w:sz w:val="22"/>
          <w:lang w:val="en-GB"/>
        </w:rPr>
        <w:t>In the OECD classification the term “</w:t>
      </w:r>
      <w:r w:rsidR="00B17CEA" w:rsidRPr="00E86857">
        <w:rPr>
          <w:rFonts w:ascii="Times New Roman" w:hAnsi="Times New Roman" w:cs="Times New Roman"/>
          <w:sz w:val="22"/>
          <w:lang w:val="en-GB"/>
        </w:rPr>
        <w:t>tax</w:t>
      </w:r>
      <w:r w:rsidRPr="00E86857">
        <w:rPr>
          <w:rFonts w:ascii="Times New Roman" w:hAnsi="Times New Roman" w:cs="Times New Roman"/>
          <w:sz w:val="22"/>
          <w:lang w:val="en-GB"/>
        </w:rPr>
        <w:t>es”</w:t>
      </w:r>
      <w:r w:rsidR="00B17CEA" w:rsidRPr="00E86857">
        <w:rPr>
          <w:rFonts w:ascii="Times New Roman" w:hAnsi="Times New Roman" w:cs="Times New Roman"/>
          <w:sz w:val="22"/>
          <w:lang w:val="en-GB"/>
        </w:rPr>
        <w:t xml:space="preserve"> is defined as compulsory unrequited payments to general government. The definition of government follows that of the 2008 System of National Accounts (SNA).  </w:t>
      </w:r>
      <w:r w:rsidRPr="00E86857">
        <w:rPr>
          <w:rFonts w:ascii="Times New Roman" w:hAnsi="Times New Roman" w:cs="Times New Roman"/>
          <w:sz w:val="22"/>
          <w:lang w:val="en-GB"/>
        </w:rPr>
        <w:t xml:space="preserve">The important parts of the SNA’s conceptual framework and its definitions of the various sectors of the economy have been reflected in the OECD’s classification of taxes. The data are predominantly recorded on an accrual basis. Data on tax revenues are recorded without offsets for the administrative expenses connected with tax collection.  </w:t>
      </w:r>
      <w:r w:rsidR="005934F3" w:rsidRPr="00E86857">
        <w:rPr>
          <w:rFonts w:ascii="Times New Roman" w:hAnsi="Times New Roman" w:cs="Times New Roman"/>
          <w:sz w:val="22"/>
          <w:lang w:val="en-GB"/>
        </w:rPr>
        <w:t>GDP</w:t>
      </w:r>
      <w:r w:rsidR="00B17CEA" w:rsidRPr="00E86857">
        <w:rPr>
          <w:rFonts w:ascii="Times New Roman" w:hAnsi="Times New Roman" w:cs="Times New Roman"/>
          <w:sz w:val="22"/>
          <w:lang w:val="en-GB"/>
        </w:rPr>
        <w:t xml:space="preserve"> also follows the definition used in the SNA.</w:t>
      </w:r>
      <w:r w:rsidRPr="00E86857">
        <w:rPr>
          <w:rFonts w:ascii="Times New Roman" w:hAnsi="Times New Roman" w:cs="Times New Roman"/>
          <w:sz w:val="22"/>
          <w:lang w:val="en-GB"/>
        </w:rPr>
        <w:t xml:space="preserve"> The methodology used in compiling the OECD’s internally comparable revenue statistics has been carefully developed and refined through consultation with national statisticians and tax policy makers for more than 40 years. It continues to evolve. </w:t>
      </w:r>
    </w:p>
    <w:p w:rsidR="008B7637" w:rsidRDefault="00B53DF1" w:rsidP="00C4116E">
      <w:pPr>
        <w:spacing w:before="240" w:after="240" w:line="240" w:lineRule="auto"/>
        <w:jc w:val="both"/>
        <w:rPr>
          <w:rFonts w:ascii="Times New Roman" w:hAnsi="Times New Roman" w:cs="Times New Roman"/>
          <w:i/>
          <w:sz w:val="22"/>
          <w:lang w:val="en-GB"/>
        </w:rPr>
      </w:pPr>
      <w:r w:rsidRPr="008B7637">
        <w:rPr>
          <w:rFonts w:ascii="Times New Roman" w:hAnsi="Times New Roman" w:cs="Times New Roman"/>
          <w:b/>
          <w:i/>
          <w:sz w:val="22"/>
          <w:lang w:val="en-GB"/>
        </w:rPr>
        <w:t>Rationale and interpretation</w:t>
      </w:r>
    </w:p>
    <w:p w:rsidR="003209BA" w:rsidRPr="008B7637" w:rsidRDefault="003A7C98" w:rsidP="00C4116E">
      <w:pPr>
        <w:spacing w:after="240" w:line="240" w:lineRule="auto"/>
        <w:ind w:firstLine="340"/>
        <w:jc w:val="both"/>
        <w:rPr>
          <w:rFonts w:ascii="Times New Roman" w:hAnsi="Times New Roman" w:cs="Times New Roman"/>
          <w:sz w:val="22"/>
          <w:lang w:val="en-GB"/>
        </w:rPr>
      </w:pPr>
      <w:r w:rsidRPr="008B7637">
        <w:rPr>
          <w:rFonts w:ascii="Times New Roman" w:hAnsi="Times New Roman" w:cs="Times New Roman"/>
          <w:sz w:val="22"/>
          <w:lang w:val="en-GB"/>
        </w:rPr>
        <w:t xml:space="preserve">The headline measure </w:t>
      </w:r>
      <w:r w:rsidR="005934F3">
        <w:rPr>
          <w:rFonts w:ascii="Times New Roman" w:hAnsi="Times New Roman" w:cs="Times New Roman"/>
          <w:sz w:val="22"/>
          <w:lang w:val="en-GB"/>
        </w:rPr>
        <w:t>presents</w:t>
      </w:r>
      <w:r w:rsidR="00F07C06">
        <w:rPr>
          <w:rFonts w:ascii="Times New Roman" w:hAnsi="Times New Roman" w:cs="Times New Roman"/>
          <w:sz w:val="22"/>
          <w:lang w:val="en-GB"/>
        </w:rPr>
        <w:t xml:space="preserve"> </w:t>
      </w:r>
      <w:r w:rsidR="00467641">
        <w:rPr>
          <w:rFonts w:ascii="Times New Roman" w:hAnsi="Times New Roman" w:cs="Times New Roman"/>
          <w:sz w:val="22"/>
          <w:lang w:val="en-GB"/>
        </w:rPr>
        <w:t>the</w:t>
      </w:r>
      <w:r w:rsidR="00467641" w:rsidRPr="008B7637">
        <w:rPr>
          <w:rFonts w:ascii="Times New Roman" w:hAnsi="Times New Roman" w:cs="Times New Roman"/>
          <w:sz w:val="22"/>
          <w:lang w:val="en-GB"/>
        </w:rPr>
        <w:t xml:space="preserve"> </w:t>
      </w:r>
      <w:r w:rsidR="003209BA" w:rsidRPr="008B7637">
        <w:rPr>
          <w:rFonts w:ascii="Times New Roman" w:hAnsi="Times New Roman" w:cs="Times New Roman"/>
          <w:sz w:val="22"/>
          <w:lang w:val="en-GB"/>
        </w:rPr>
        <w:t>total tax</w:t>
      </w:r>
      <w:r w:rsidRPr="008B7637">
        <w:rPr>
          <w:rFonts w:ascii="Times New Roman" w:hAnsi="Times New Roman" w:cs="Times New Roman"/>
          <w:sz w:val="22"/>
          <w:lang w:val="en-GB"/>
        </w:rPr>
        <w:t xml:space="preserve"> </w:t>
      </w:r>
      <w:r w:rsidR="003209BA" w:rsidRPr="008B7637">
        <w:rPr>
          <w:rFonts w:ascii="Times New Roman" w:hAnsi="Times New Roman" w:cs="Times New Roman"/>
          <w:sz w:val="22"/>
          <w:lang w:val="en-GB"/>
        </w:rPr>
        <w:t>revenues received by the national government during the year, expressed as a percent</w:t>
      </w:r>
      <w:r w:rsidRPr="008B7637">
        <w:rPr>
          <w:rFonts w:ascii="Times New Roman" w:hAnsi="Times New Roman" w:cs="Times New Roman"/>
          <w:sz w:val="22"/>
          <w:lang w:val="en-GB"/>
        </w:rPr>
        <w:t>age</w:t>
      </w:r>
      <w:r w:rsidR="003209BA" w:rsidRPr="008B7637">
        <w:rPr>
          <w:rFonts w:ascii="Times New Roman" w:hAnsi="Times New Roman" w:cs="Times New Roman"/>
          <w:sz w:val="22"/>
          <w:lang w:val="en-GB"/>
        </w:rPr>
        <w:t xml:space="preserve"> of </w:t>
      </w:r>
      <w:r w:rsidR="005934F3" w:rsidRPr="008B7637">
        <w:rPr>
          <w:rFonts w:ascii="Times New Roman" w:hAnsi="Times New Roman" w:cs="Times New Roman"/>
          <w:sz w:val="22"/>
          <w:lang w:val="en-GB"/>
        </w:rPr>
        <w:t>GDP</w:t>
      </w:r>
      <w:r w:rsidR="005934F3">
        <w:rPr>
          <w:rFonts w:ascii="Times New Roman" w:hAnsi="Times New Roman" w:cs="Times New Roman"/>
          <w:sz w:val="22"/>
          <w:lang w:val="en-GB"/>
        </w:rPr>
        <w:t xml:space="preserve"> – i.e.,</w:t>
      </w:r>
      <w:r w:rsidR="00F07C06">
        <w:rPr>
          <w:rFonts w:ascii="Times New Roman" w:hAnsi="Times New Roman" w:cs="Times New Roman"/>
          <w:sz w:val="22"/>
          <w:lang w:val="en-GB"/>
        </w:rPr>
        <w:t xml:space="preserve"> </w:t>
      </w:r>
      <w:r w:rsidR="00F07C06" w:rsidRPr="00F07C06">
        <w:rPr>
          <w:rFonts w:ascii="Times New Roman" w:hAnsi="Times New Roman" w:cs="Times New Roman"/>
          <w:sz w:val="22"/>
          <w:lang w:val="en-GB"/>
        </w:rPr>
        <w:t>total national income</w:t>
      </w:r>
      <w:r w:rsidR="003209BA" w:rsidRPr="008B7637">
        <w:rPr>
          <w:rFonts w:ascii="Times New Roman" w:hAnsi="Times New Roman" w:cs="Times New Roman"/>
          <w:sz w:val="22"/>
          <w:lang w:val="en-GB"/>
        </w:rPr>
        <w:t>. Taxes include personal and corporate income taxes,</w:t>
      </w:r>
      <w:r w:rsidR="00467641" w:rsidRPr="00467641">
        <w:t xml:space="preserve"> </w:t>
      </w:r>
      <w:r w:rsidR="00467641">
        <w:rPr>
          <w:rFonts w:ascii="Times New Roman" w:hAnsi="Times New Roman" w:cs="Times New Roman"/>
          <w:sz w:val="22"/>
          <w:lang w:val="en-GB"/>
        </w:rPr>
        <w:t>t</w:t>
      </w:r>
      <w:r w:rsidR="00467641" w:rsidRPr="00467641">
        <w:rPr>
          <w:rFonts w:ascii="Times New Roman" w:hAnsi="Times New Roman" w:cs="Times New Roman"/>
          <w:sz w:val="22"/>
          <w:lang w:val="en-GB"/>
        </w:rPr>
        <w:t>axes on property</w:t>
      </w:r>
      <w:r w:rsidR="00E86857">
        <w:rPr>
          <w:rFonts w:ascii="Times New Roman" w:hAnsi="Times New Roman" w:cs="Times New Roman"/>
          <w:sz w:val="22"/>
          <w:lang w:val="en-GB"/>
        </w:rPr>
        <w:t>,</w:t>
      </w:r>
      <w:r w:rsidR="003209BA" w:rsidRPr="008B7637">
        <w:rPr>
          <w:rFonts w:ascii="Times New Roman" w:hAnsi="Times New Roman" w:cs="Times New Roman"/>
          <w:sz w:val="22"/>
          <w:lang w:val="en-GB"/>
        </w:rPr>
        <w:t xml:space="preserve"> value added taxes, excise taxes, tariffs,</w:t>
      </w:r>
      <w:r w:rsidR="00E86857">
        <w:rPr>
          <w:rFonts w:ascii="Times New Roman" w:hAnsi="Times New Roman" w:cs="Times New Roman"/>
          <w:sz w:val="22"/>
          <w:lang w:val="en-GB"/>
        </w:rPr>
        <w:t xml:space="preserve"> customs duties and </w:t>
      </w:r>
      <w:r w:rsidR="003209BA" w:rsidRPr="008B7637">
        <w:rPr>
          <w:rFonts w:ascii="Times New Roman" w:hAnsi="Times New Roman" w:cs="Times New Roman"/>
          <w:sz w:val="22"/>
          <w:lang w:val="en-GB"/>
        </w:rPr>
        <w:t xml:space="preserve">social </w:t>
      </w:r>
      <w:r w:rsidRPr="008B7637">
        <w:rPr>
          <w:rFonts w:ascii="Times New Roman" w:hAnsi="Times New Roman" w:cs="Times New Roman"/>
          <w:sz w:val="22"/>
          <w:lang w:val="en-GB"/>
        </w:rPr>
        <w:t xml:space="preserve">security </w:t>
      </w:r>
      <w:r w:rsidR="003209BA" w:rsidRPr="008B7637">
        <w:rPr>
          <w:rFonts w:ascii="Times New Roman" w:hAnsi="Times New Roman" w:cs="Times New Roman"/>
          <w:sz w:val="22"/>
          <w:lang w:val="en-GB"/>
        </w:rPr>
        <w:t xml:space="preserve">contributions. </w:t>
      </w:r>
    </w:p>
    <w:p w:rsidR="00B81EBA" w:rsidRPr="00C362DA" w:rsidRDefault="003209BA" w:rsidP="00C4116E">
      <w:pPr>
        <w:spacing w:after="240" w:line="240" w:lineRule="auto"/>
        <w:ind w:firstLine="851"/>
        <w:jc w:val="both"/>
        <w:rPr>
          <w:rFonts w:ascii="Times New Roman" w:hAnsi="Times New Roman" w:cs="Times New Roman"/>
          <w:sz w:val="22"/>
          <w:lang w:val="en-GB"/>
        </w:rPr>
      </w:pPr>
      <w:r w:rsidRPr="00C362DA">
        <w:rPr>
          <w:rFonts w:ascii="Times New Roman" w:hAnsi="Times New Roman" w:cs="Times New Roman"/>
          <w:sz w:val="22"/>
          <w:lang w:val="en-GB"/>
        </w:rPr>
        <w:t>T</w:t>
      </w:r>
      <w:r w:rsidR="003A7C98" w:rsidRPr="00C362DA">
        <w:rPr>
          <w:rFonts w:ascii="Times New Roman" w:hAnsi="Times New Roman" w:cs="Times New Roman"/>
          <w:sz w:val="22"/>
          <w:lang w:val="en-GB"/>
        </w:rPr>
        <w:t>he t</w:t>
      </w:r>
      <w:r w:rsidRPr="00C362DA">
        <w:rPr>
          <w:rFonts w:ascii="Times New Roman" w:hAnsi="Times New Roman" w:cs="Times New Roman"/>
          <w:sz w:val="22"/>
          <w:lang w:val="en-GB"/>
        </w:rPr>
        <w:t xml:space="preserve">ax to GDP ratio is the </w:t>
      </w:r>
      <w:r w:rsidR="003A7C98" w:rsidRPr="00C362DA">
        <w:rPr>
          <w:rFonts w:ascii="Times New Roman" w:hAnsi="Times New Roman" w:cs="Times New Roman"/>
          <w:sz w:val="22"/>
          <w:lang w:val="en-GB"/>
        </w:rPr>
        <w:t>leading</w:t>
      </w:r>
      <w:r w:rsidRPr="00C362DA">
        <w:rPr>
          <w:rFonts w:ascii="Times New Roman" w:hAnsi="Times New Roman" w:cs="Times New Roman"/>
          <w:sz w:val="22"/>
          <w:lang w:val="en-GB"/>
        </w:rPr>
        <w:t xml:space="preserve"> indicator to estimate the financial domestic means of a government to conduct its program</w:t>
      </w:r>
      <w:r w:rsidR="00E86857">
        <w:rPr>
          <w:rFonts w:ascii="Times New Roman" w:hAnsi="Times New Roman" w:cs="Times New Roman"/>
          <w:sz w:val="22"/>
          <w:lang w:val="en-GB"/>
        </w:rPr>
        <w:t>me</w:t>
      </w:r>
      <w:r w:rsidR="002F734E">
        <w:rPr>
          <w:rFonts w:ascii="Times New Roman" w:hAnsi="Times New Roman" w:cs="Times New Roman"/>
          <w:sz w:val="22"/>
          <w:lang w:val="en-GB"/>
        </w:rPr>
        <w:t xml:space="preserve">, to </w:t>
      </w:r>
      <w:r w:rsidR="00F07C06">
        <w:rPr>
          <w:rFonts w:ascii="Times New Roman" w:hAnsi="Times New Roman" w:cs="Times New Roman"/>
          <w:sz w:val="22"/>
          <w:lang w:val="en-GB"/>
        </w:rPr>
        <w:t xml:space="preserve">raise </w:t>
      </w:r>
      <w:r w:rsidR="00F07C06" w:rsidRPr="005934F3">
        <w:rPr>
          <w:rFonts w:ascii="Times New Roman" w:hAnsi="Times New Roman" w:cs="Times New Roman"/>
          <w:sz w:val="22"/>
          <w:lang w:val="en-GB"/>
        </w:rPr>
        <w:t>resources</w:t>
      </w:r>
      <w:r w:rsidR="00F07C06" w:rsidRPr="00C362DA">
        <w:rPr>
          <w:rFonts w:ascii="Times New Roman" w:hAnsi="Times New Roman" w:cs="Times New Roman"/>
          <w:i/>
          <w:sz w:val="22"/>
          <w:lang w:val="en-GB"/>
        </w:rPr>
        <w:t xml:space="preserve"> </w:t>
      </w:r>
      <w:r w:rsidR="002F734E">
        <w:rPr>
          <w:rFonts w:ascii="Times New Roman" w:hAnsi="Times New Roman" w:cs="Times New Roman"/>
          <w:sz w:val="22"/>
          <w:lang w:val="en-GB"/>
        </w:rPr>
        <w:t>to</w:t>
      </w:r>
      <w:r w:rsidR="00F07C06" w:rsidRPr="00F07C06">
        <w:rPr>
          <w:rFonts w:ascii="Times New Roman" w:hAnsi="Times New Roman" w:cs="Times New Roman"/>
          <w:sz w:val="22"/>
          <w:lang w:val="en-GB"/>
        </w:rPr>
        <w:t xml:space="preserve"> supply</w:t>
      </w:r>
      <w:r w:rsidR="002F734E">
        <w:rPr>
          <w:rFonts w:ascii="Times New Roman" w:hAnsi="Times New Roman" w:cs="Times New Roman"/>
          <w:sz w:val="22"/>
          <w:lang w:val="en-GB"/>
        </w:rPr>
        <w:t xml:space="preserve"> physical infrastructure,</w:t>
      </w:r>
      <w:r w:rsidR="00F07C06" w:rsidRPr="00F07C06">
        <w:rPr>
          <w:rFonts w:ascii="Times New Roman" w:hAnsi="Times New Roman" w:cs="Times New Roman"/>
          <w:sz w:val="22"/>
          <w:lang w:val="en-GB"/>
        </w:rPr>
        <w:t xml:space="preserve"> public goods and services</w:t>
      </w:r>
      <w:r w:rsidRPr="00C362DA">
        <w:rPr>
          <w:rFonts w:ascii="Times New Roman" w:hAnsi="Times New Roman" w:cs="Times New Roman"/>
          <w:sz w:val="22"/>
          <w:lang w:val="en-GB"/>
        </w:rPr>
        <w:t>.</w:t>
      </w:r>
      <w:r w:rsidR="008B7637">
        <w:rPr>
          <w:rFonts w:ascii="Times New Roman" w:hAnsi="Times New Roman" w:cs="Times New Roman"/>
          <w:sz w:val="22"/>
          <w:lang w:val="en-GB"/>
        </w:rPr>
        <w:t xml:space="preserve"> </w:t>
      </w:r>
      <w:r w:rsidRPr="00C362DA">
        <w:rPr>
          <w:rFonts w:ascii="Times New Roman" w:hAnsi="Times New Roman" w:cs="Times New Roman"/>
          <w:sz w:val="22"/>
          <w:lang w:val="en-GB"/>
        </w:rPr>
        <w:t xml:space="preserve"> </w:t>
      </w:r>
      <w:r w:rsidR="00F07C06" w:rsidRPr="00C362DA">
        <w:rPr>
          <w:rFonts w:ascii="Times New Roman" w:hAnsi="Times New Roman" w:cs="Times New Roman"/>
          <w:sz w:val="22"/>
          <w:lang w:val="en-GB"/>
        </w:rPr>
        <w:t>The t</w:t>
      </w:r>
      <w:r w:rsidR="00F07C06">
        <w:rPr>
          <w:rFonts w:ascii="Times New Roman" w:hAnsi="Times New Roman" w:cs="Times New Roman"/>
          <w:sz w:val="22"/>
          <w:lang w:val="en-GB"/>
        </w:rPr>
        <w:t xml:space="preserve">ax to GDP ratio </w:t>
      </w:r>
      <w:r w:rsidR="005934F3">
        <w:rPr>
          <w:rFonts w:ascii="Times New Roman" w:hAnsi="Times New Roman" w:cs="Times New Roman"/>
          <w:sz w:val="22"/>
          <w:lang w:val="en-GB"/>
        </w:rPr>
        <w:t>suppor</w:t>
      </w:r>
      <w:r w:rsidR="005934F3" w:rsidRPr="005934F3">
        <w:rPr>
          <w:rFonts w:ascii="Times New Roman" w:hAnsi="Times New Roman" w:cs="Times New Roman"/>
          <w:sz w:val="22"/>
          <w:lang w:val="en-GB"/>
        </w:rPr>
        <w:t xml:space="preserve">ts </w:t>
      </w:r>
      <w:r w:rsidR="00F07C06" w:rsidRPr="005934F3">
        <w:rPr>
          <w:rFonts w:ascii="Times New Roman" w:hAnsi="Times New Roman" w:cs="Times New Roman"/>
          <w:sz w:val="22"/>
          <w:lang w:val="en-GB"/>
        </w:rPr>
        <w:t>the development of effective tax systems</w:t>
      </w:r>
      <w:r w:rsidR="005934F3" w:rsidRPr="005934F3">
        <w:rPr>
          <w:rFonts w:ascii="Times New Roman" w:hAnsi="Times New Roman" w:cs="Times New Roman"/>
          <w:sz w:val="22"/>
          <w:lang w:val="en-GB"/>
        </w:rPr>
        <w:t xml:space="preserve"> and </w:t>
      </w:r>
      <w:r w:rsidR="00F07C06" w:rsidRPr="005934F3">
        <w:rPr>
          <w:rFonts w:ascii="Times New Roman" w:hAnsi="Times New Roman" w:cs="Times New Roman"/>
          <w:sz w:val="22"/>
          <w:lang w:val="en-GB"/>
        </w:rPr>
        <w:t xml:space="preserve">is an essential feature of </w:t>
      </w:r>
      <w:r w:rsidR="000822A1">
        <w:rPr>
          <w:rFonts w:ascii="Times New Roman" w:hAnsi="Times New Roman" w:cs="Times New Roman"/>
          <w:sz w:val="22"/>
          <w:lang w:val="en-GB"/>
        </w:rPr>
        <w:t xml:space="preserve">a </w:t>
      </w:r>
      <w:r w:rsidR="00F07C06" w:rsidRPr="005934F3">
        <w:rPr>
          <w:rFonts w:ascii="Times New Roman" w:hAnsi="Times New Roman" w:cs="Times New Roman"/>
          <w:sz w:val="22"/>
          <w:lang w:val="en-GB"/>
        </w:rPr>
        <w:t xml:space="preserve">successful governance </w:t>
      </w:r>
      <w:r w:rsidR="000822A1">
        <w:rPr>
          <w:rFonts w:ascii="Times New Roman" w:hAnsi="Times New Roman" w:cs="Times New Roman"/>
          <w:sz w:val="22"/>
          <w:lang w:val="en-GB"/>
        </w:rPr>
        <w:t>framework</w:t>
      </w:r>
      <w:r w:rsidR="00F07C06" w:rsidRPr="005934F3">
        <w:rPr>
          <w:rFonts w:ascii="Times New Roman" w:hAnsi="Times New Roman" w:cs="Times New Roman"/>
          <w:sz w:val="22"/>
          <w:lang w:val="en-GB"/>
        </w:rPr>
        <w:t xml:space="preserve">. </w:t>
      </w:r>
      <w:r w:rsidR="00546567" w:rsidRPr="00C362DA">
        <w:rPr>
          <w:rFonts w:ascii="Times New Roman" w:hAnsi="Times New Roman" w:cs="Times New Roman"/>
          <w:sz w:val="22"/>
          <w:lang w:val="en-GB"/>
        </w:rPr>
        <w:t>Normalis</w:t>
      </w:r>
      <w:r w:rsidRPr="00C362DA">
        <w:rPr>
          <w:rFonts w:ascii="Times New Roman" w:hAnsi="Times New Roman" w:cs="Times New Roman"/>
          <w:sz w:val="22"/>
          <w:lang w:val="en-GB"/>
        </w:rPr>
        <w:t xml:space="preserve">ing the data, by dividing total revenues by GDP, enables easy comparisons across countries </w:t>
      </w:r>
      <w:r w:rsidR="00F07C06" w:rsidRPr="005934F3">
        <w:rPr>
          <w:rFonts w:ascii="Times New Roman" w:hAnsi="Times New Roman" w:cs="Times New Roman"/>
          <w:sz w:val="22"/>
          <w:lang w:val="en-GB"/>
        </w:rPr>
        <w:t>Comparable</w:t>
      </w:r>
      <w:r w:rsidR="005934F3">
        <w:rPr>
          <w:rFonts w:ascii="Times New Roman" w:hAnsi="Times New Roman" w:cs="Times New Roman"/>
          <w:sz w:val="22"/>
          <w:lang w:val="en-GB"/>
        </w:rPr>
        <w:t xml:space="preserve"> and</w:t>
      </w:r>
      <w:r w:rsidR="00F07C06" w:rsidRPr="005934F3">
        <w:rPr>
          <w:rFonts w:ascii="Times New Roman" w:hAnsi="Times New Roman" w:cs="Times New Roman"/>
          <w:sz w:val="22"/>
          <w:lang w:val="en-GB"/>
        </w:rPr>
        <w:t xml:space="preserve"> consistent</w:t>
      </w:r>
      <w:r w:rsidR="005934F3">
        <w:rPr>
          <w:rFonts w:ascii="Times New Roman" w:hAnsi="Times New Roman" w:cs="Times New Roman"/>
          <w:sz w:val="22"/>
          <w:lang w:val="en-GB"/>
        </w:rPr>
        <w:t xml:space="preserve"> tax </w:t>
      </w:r>
      <w:r w:rsidR="00F07C06" w:rsidRPr="005934F3">
        <w:rPr>
          <w:rFonts w:ascii="Times New Roman" w:hAnsi="Times New Roman" w:cs="Times New Roman"/>
          <w:sz w:val="22"/>
          <w:lang w:val="en-GB"/>
        </w:rPr>
        <w:t>statistics</w:t>
      </w:r>
      <w:r w:rsidR="005934F3">
        <w:rPr>
          <w:rFonts w:ascii="Times New Roman" w:hAnsi="Times New Roman" w:cs="Times New Roman"/>
          <w:sz w:val="22"/>
          <w:lang w:val="en-GB"/>
        </w:rPr>
        <w:t>, such as the tax to GDP ratio,</w:t>
      </w:r>
      <w:r w:rsidR="00F07C06" w:rsidRPr="005934F3">
        <w:rPr>
          <w:rFonts w:ascii="Times New Roman" w:hAnsi="Times New Roman" w:cs="Times New Roman"/>
          <w:sz w:val="22"/>
          <w:lang w:val="en-GB"/>
        </w:rPr>
        <w:t xml:space="preserve"> facilitate transparent policy dialogue and provide policy makers with a</w:t>
      </w:r>
      <w:r w:rsidR="005934F3">
        <w:rPr>
          <w:rFonts w:ascii="Times New Roman" w:hAnsi="Times New Roman" w:cs="Times New Roman"/>
          <w:sz w:val="22"/>
          <w:lang w:val="en-GB"/>
        </w:rPr>
        <w:t>n important</w:t>
      </w:r>
      <w:r w:rsidR="00F07C06" w:rsidRPr="005934F3">
        <w:rPr>
          <w:rFonts w:ascii="Times New Roman" w:hAnsi="Times New Roman" w:cs="Times New Roman"/>
          <w:sz w:val="22"/>
          <w:lang w:val="en-GB"/>
        </w:rPr>
        <w:t xml:space="preserve"> tool to assess alternative fiscal reforms and to </w:t>
      </w:r>
      <w:r w:rsidR="005934F3">
        <w:rPr>
          <w:rFonts w:ascii="Times New Roman" w:hAnsi="Times New Roman" w:cs="Times New Roman"/>
          <w:sz w:val="22"/>
          <w:lang w:val="en-GB"/>
        </w:rPr>
        <w:t>undertake</w:t>
      </w:r>
      <w:r w:rsidR="00F07C06" w:rsidRPr="005934F3">
        <w:rPr>
          <w:rFonts w:ascii="Times New Roman" w:hAnsi="Times New Roman" w:cs="Times New Roman"/>
          <w:sz w:val="22"/>
          <w:lang w:val="en-GB"/>
        </w:rPr>
        <w:t xml:space="preserve"> relevant policy actions.</w:t>
      </w:r>
      <w:r w:rsidR="00F07C06" w:rsidRPr="00C362DA">
        <w:rPr>
          <w:rFonts w:ascii="Times New Roman" w:hAnsi="Times New Roman" w:cs="Times New Roman"/>
          <w:i/>
          <w:sz w:val="22"/>
          <w:lang w:val="en-GB"/>
        </w:rPr>
        <w:t xml:space="preserve"> </w:t>
      </w:r>
    </w:p>
    <w:p w:rsidR="008B7637" w:rsidRPr="008B7637" w:rsidRDefault="00B53DF1" w:rsidP="00C4116E">
      <w:pPr>
        <w:spacing w:before="240" w:after="240" w:line="240" w:lineRule="auto"/>
        <w:jc w:val="both"/>
        <w:rPr>
          <w:rFonts w:ascii="Times New Roman" w:hAnsi="Times New Roman" w:cs="Times New Roman"/>
          <w:i/>
          <w:sz w:val="22"/>
          <w:lang w:val="en-GB"/>
        </w:rPr>
      </w:pPr>
      <w:r w:rsidRPr="008B7637">
        <w:rPr>
          <w:rFonts w:ascii="Times New Roman" w:hAnsi="Times New Roman" w:cs="Times New Roman"/>
          <w:b/>
          <w:i/>
          <w:sz w:val="22"/>
          <w:lang w:val="en-GB"/>
        </w:rPr>
        <w:t>Sources and data collection</w:t>
      </w:r>
    </w:p>
    <w:p w:rsidR="002564DD" w:rsidRPr="00C362DA" w:rsidRDefault="008B7637" w:rsidP="00C4116E">
      <w:pPr>
        <w:spacing w:after="240" w:line="240" w:lineRule="auto"/>
        <w:ind w:firstLine="851"/>
        <w:jc w:val="both"/>
        <w:rPr>
          <w:rFonts w:ascii="Times New Roman" w:hAnsi="Times New Roman" w:cs="Times New Roman"/>
          <w:sz w:val="22"/>
          <w:lang w:val="en-GB"/>
        </w:rPr>
      </w:pPr>
      <w:r>
        <w:rPr>
          <w:rFonts w:ascii="Times New Roman" w:hAnsi="Times New Roman" w:cs="Times New Roman"/>
          <w:sz w:val="22"/>
          <w:lang w:val="en-GB"/>
        </w:rPr>
        <w:t>The OECD Revenue Statistics data are compiled by the OECD and are provided by e</w:t>
      </w:r>
      <w:r w:rsidR="003D7261" w:rsidRPr="008B7637">
        <w:rPr>
          <w:rFonts w:ascii="Times New Roman" w:hAnsi="Times New Roman" w:cs="Times New Roman"/>
          <w:sz w:val="22"/>
          <w:lang w:val="en-GB"/>
        </w:rPr>
        <w:t xml:space="preserve">ach country in accordance with the </w:t>
      </w:r>
      <w:r w:rsidR="000E6E96">
        <w:rPr>
          <w:rFonts w:ascii="Times New Roman" w:hAnsi="Times New Roman" w:cs="Times New Roman"/>
          <w:sz w:val="22"/>
          <w:lang w:val="en-GB"/>
        </w:rPr>
        <w:t xml:space="preserve">OECD </w:t>
      </w:r>
      <w:r w:rsidR="003D7261" w:rsidRPr="008B7637">
        <w:rPr>
          <w:rFonts w:ascii="Times New Roman" w:hAnsi="Times New Roman" w:cs="Times New Roman"/>
          <w:sz w:val="22"/>
          <w:lang w:val="en-GB"/>
        </w:rPr>
        <w:t>classification.</w:t>
      </w:r>
      <w:r w:rsidR="00931C9F" w:rsidRPr="008B7637">
        <w:rPr>
          <w:rFonts w:ascii="Times New Roman" w:hAnsi="Times New Roman" w:cs="Times New Roman"/>
          <w:sz w:val="22"/>
          <w:lang w:val="en-GB"/>
        </w:rPr>
        <w:t xml:space="preserve"> </w:t>
      </w:r>
      <w:r w:rsidR="003D7261" w:rsidRPr="008B7637">
        <w:rPr>
          <w:rFonts w:ascii="Times New Roman" w:hAnsi="Times New Roman" w:cs="Times New Roman"/>
          <w:sz w:val="22"/>
          <w:lang w:val="en-GB"/>
        </w:rPr>
        <w:t xml:space="preserve">The accuracy of the data is guaranteed as it is verified and validated by national authorities and regional organisations. </w:t>
      </w:r>
    </w:p>
    <w:p w:rsidR="000E6E96" w:rsidRPr="000E6E96" w:rsidRDefault="00B53DF1" w:rsidP="00C4116E">
      <w:pPr>
        <w:pStyle w:val="ListBullet"/>
        <w:spacing w:before="240" w:line="240" w:lineRule="auto"/>
        <w:jc w:val="both"/>
        <w:rPr>
          <w:rFonts w:ascii="Times New Roman" w:hAnsi="Times New Roman" w:cs="Times New Roman"/>
          <w:i/>
          <w:sz w:val="22"/>
          <w:lang w:val="en-GB"/>
        </w:rPr>
      </w:pPr>
      <w:r w:rsidRPr="000E6E96">
        <w:rPr>
          <w:rFonts w:ascii="Times New Roman" w:hAnsi="Times New Roman" w:cs="Times New Roman"/>
          <w:b/>
          <w:i/>
          <w:sz w:val="22"/>
          <w:lang w:val="en-GB"/>
        </w:rPr>
        <w:t>Disaggregation</w:t>
      </w:r>
    </w:p>
    <w:p w:rsidR="006A115A" w:rsidRPr="006A115A" w:rsidRDefault="00CA6DFE" w:rsidP="00C4116E">
      <w:pPr>
        <w:pStyle w:val="ListBullet"/>
        <w:spacing w:line="240" w:lineRule="auto"/>
        <w:jc w:val="both"/>
        <w:rPr>
          <w:rFonts w:ascii="Times New Roman" w:hAnsi="Times New Roman" w:cs="Times New Roman"/>
          <w:sz w:val="22"/>
          <w:lang w:val="en-GB"/>
        </w:rPr>
      </w:pPr>
      <w:r w:rsidRPr="006A115A">
        <w:rPr>
          <w:rFonts w:ascii="Times New Roman" w:hAnsi="Times New Roman" w:cs="Times New Roman"/>
          <w:sz w:val="22"/>
          <w:lang w:val="en-GB"/>
        </w:rPr>
        <w:lastRenderedPageBreak/>
        <w:t xml:space="preserve">The OECD </w:t>
      </w:r>
      <w:r w:rsidR="000E6E96" w:rsidRPr="006A115A">
        <w:rPr>
          <w:rFonts w:ascii="Times New Roman" w:hAnsi="Times New Roman" w:cs="Times New Roman"/>
          <w:sz w:val="22"/>
          <w:lang w:val="en-GB"/>
        </w:rPr>
        <w:t>R</w:t>
      </w:r>
      <w:r w:rsidRPr="006A115A">
        <w:rPr>
          <w:rFonts w:ascii="Times New Roman" w:hAnsi="Times New Roman" w:cs="Times New Roman"/>
          <w:sz w:val="22"/>
          <w:lang w:val="en-GB"/>
        </w:rPr>
        <w:t xml:space="preserve">evenue </w:t>
      </w:r>
      <w:r w:rsidR="000E6E96" w:rsidRPr="006A115A">
        <w:rPr>
          <w:rFonts w:ascii="Times New Roman" w:hAnsi="Times New Roman" w:cs="Times New Roman"/>
          <w:sz w:val="22"/>
          <w:lang w:val="en-GB"/>
        </w:rPr>
        <w:t>S</w:t>
      </w:r>
      <w:r w:rsidRPr="006A115A">
        <w:rPr>
          <w:rFonts w:ascii="Times New Roman" w:hAnsi="Times New Roman" w:cs="Times New Roman"/>
          <w:sz w:val="22"/>
          <w:lang w:val="en-GB"/>
        </w:rPr>
        <w:t xml:space="preserve">tatistics publications not only contain the overall tax burden as measured by tax to GDP ratios but also </w:t>
      </w:r>
      <w:r w:rsidR="000E6E96" w:rsidRPr="006A115A">
        <w:rPr>
          <w:rFonts w:ascii="Times New Roman" w:hAnsi="Times New Roman" w:cs="Times New Roman"/>
          <w:sz w:val="22"/>
          <w:lang w:val="en-GB"/>
        </w:rPr>
        <w:t xml:space="preserve">provide </w:t>
      </w:r>
      <w:r w:rsidRPr="006A115A">
        <w:rPr>
          <w:rFonts w:ascii="Times New Roman" w:hAnsi="Times New Roman" w:cs="Times New Roman"/>
          <w:sz w:val="22"/>
          <w:lang w:val="en-GB"/>
        </w:rPr>
        <w:t>comparative statistics on: the tax mix (i.e.</w:t>
      </w:r>
      <w:r w:rsidR="000E6E96" w:rsidRPr="006A115A">
        <w:rPr>
          <w:rFonts w:ascii="Times New Roman" w:hAnsi="Times New Roman" w:cs="Times New Roman"/>
          <w:sz w:val="22"/>
          <w:lang w:val="en-GB"/>
        </w:rPr>
        <w:t>,</w:t>
      </w:r>
      <w:r w:rsidRPr="006A115A">
        <w:rPr>
          <w:rFonts w:ascii="Times New Roman" w:hAnsi="Times New Roman" w:cs="Times New Roman"/>
          <w:sz w:val="22"/>
          <w:lang w:val="en-GB"/>
        </w:rPr>
        <w:t xml:space="preserve"> the distribution of the total tax take by the main types of taxes – for example, </w:t>
      </w:r>
      <w:r w:rsidR="003A7C98" w:rsidRPr="006A115A">
        <w:rPr>
          <w:rFonts w:ascii="Times New Roman" w:hAnsi="Times New Roman" w:cs="Times New Roman"/>
          <w:sz w:val="22"/>
          <w:lang w:val="en-GB"/>
        </w:rPr>
        <w:t xml:space="preserve">personal and corporate </w:t>
      </w:r>
      <w:r w:rsidRPr="006A115A">
        <w:rPr>
          <w:rFonts w:ascii="Times New Roman" w:hAnsi="Times New Roman" w:cs="Times New Roman"/>
          <w:sz w:val="22"/>
          <w:lang w:val="en-GB"/>
        </w:rPr>
        <w:t>income taxes, social security contributions, taxes on goods and services; taxes on payroll and workforce; taxes on property); the share of tax revenues attributed to the different levels of government (i.e.</w:t>
      </w:r>
      <w:r w:rsidR="000E6E96" w:rsidRPr="006A115A">
        <w:rPr>
          <w:rFonts w:ascii="Times New Roman" w:hAnsi="Times New Roman" w:cs="Times New Roman"/>
          <w:sz w:val="22"/>
          <w:lang w:val="en-GB"/>
        </w:rPr>
        <w:t>,</w:t>
      </w:r>
      <w:r w:rsidRPr="006A115A">
        <w:rPr>
          <w:rFonts w:ascii="Times New Roman" w:hAnsi="Times New Roman" w:cs="Times New Roman"/>
          <w:sz w:val="22"/>
          <w:lang w:val="en-GB"/>
        </w:rPr>
        <w:t xml:space="preserve"> federal or central, state and local).</w:t>
      </w:r>
      <w:r w:rsidR="002564DD" w:rsidRPr="006A115A">
        <w:rPr>
          <w:rFonts w:ascii="Times New Roman" w:hAnsi="Times New Roman" w:cs="Times New Roman"/>
          <w:sz w:val="22"/>
          <w:lang w:val="en-GB"/>
        </w:rPr>
        <w:t xml:space="preserve"> </w:t>
      </w:r>
      <w:r w:rsidR="000E6E96" w:rsidRPr="006A115A">
        <w:rPr>
          <w:rFonts w:ascii="Times New Roman" w:hAnsi="Times New Roman" w:cs="Times New Roman"/>
          <w:sz w:val="22"/>
          <w:lang w:val="en-GB"/>
        </w:rPr>
        <w:t xml:space="preserve"> </w:t>
      </w:r>
      <w:r w:rsidR="002564DD" w:rsidRPr="006A115A">
        <w:rPr>
          <w:rFonts w:ascii="Times New Roman" w:hAnsi="Times New Roman" w:cs="Times New Roman"/>
          <w:sz w:val="22"/>
          <w:lang w:val="en-GB"/>
        </w:rPr>
        <w:t>In certain sub-headings, distinctions are made between different categories of taxpayers.</w:t>
      </w:r>
    </w:p>
    <w:p w:rsidR="000E6E96" w:rsidRPr="000E6E96" w:rsidRDefault="00B53DF1" w:rsidP="00C4116E">
      <w:pPr>
        <w:pStyle w:val="ListBullet"/>
        <w:spacing w:before="240" w:line="240" w:lineRule="auto"/>
        <w:rPr>
          <w:rFonts w:ascii="Times New Roman" w:hAnsi="Times New Roman" w:cs="Times New Roman"/>
          <w:i/>
          <w:sz w:val="22"/>
          <w:lang w:val="en-GB"/>
        </w:rPr>
      </w:pPr>
      <w:r w:rsidRPr="000E6E96">
        <w:rPr>
          <w:rFonts w:ascii="Times New Roman" w:hAnsi="Times New Roman" w:cs="Times New Roman"/>
          <w:b/>
          <w:i/>
          <w:sz w:val="22"/>
          <w:lang w:val="en-GB"/>
        </w:rPr>
        <w:t>Comments and limitations</w:t>
      </w:r>
    </w:p>
    <w:p w:rsidR="00931C9F" w:rsidRPr="000E6E96" w:rsidRDefault="00931C9F" w:rsidP="00C4116E">
      <w:pPr>
        <w:spacing w:after="240" w:line="240" w:lineRule="auto"/>
        <w:ind w:firstLine="851"/>
        <w:jc w:val="both"/>
        <w:rPr>
          <w:rFonts w:ascii="Times New Roman" w:hAnsi="Times New Roman" w:cs="Times New Roman"/>
          <w:sz w:val="22"/>
          <w:lang w:val="en-GB"/>
        </w:rPr>
      </w:pPr>
      <w:r w:rsidRPr="000E6E96">
        <w:rPr>
          <w:rFonts w:ascii="Times New Roman" w:hAnsi="Times New Roman" w:cs="Times New Roman"/>
          <w:sz w:val="22"/>
          <w:lang w:val="en-GB"/>
        </w:rPr>
        <w:t xml:space="preserve">The coverage of </w:t>
      </w:r>
      <w:r w:rsidR="000E6E96">
        <w:rPr>
          <w:rFonts w:ascii="Times New Roman" w:hAnsi="Times New Roman" w:cs="Times New Roman"/>
          <w:sz w:val="22"/>
          <w:lang w:val="en-GB"/>
        </w:rPr>
        <w:t>the OECD</w:t>
      </w:r>
      <w:r w:rsidR="000E6E96" w:rsidRPr="000E6E96">
        <w:rPr>
          <w:rFonts w:ascii="Times New Roman" w:hAnsi="Times New Roman" w:cs="Times New Roman"/>
          <w:sz w:val="22"/>
          <w:lang w:val="en-GB"/>
        </w:rPr>
        <w:t xml:space="preserve"> </w:t>
      </w:r>
      <w:r w:rsidR="000E6E96">
        <w:rPr>
          <w:rFonts w:ascii="Times New Roman" w:hAnsi="Times New Roman" w:cs="Times New Roman"/>
          <w:sz w:val="22"/>
          <w:lang w:val="en-GB"/>
        </w:rPr>
        <w:t xml:space="preserve">Revenue Statistics </w:t>
      </w:r>
      <w:r w:rsidRPr="000E6E96">
        <w:rPr>
          <w:rFonts w:ascii="Times New Roman" w:hAnsi="Times New Roman" w:cs="Times New Roman"/>
          <w:sz w:val="22"/>
          <w:lang w:val="en-GB"/>
        </w:rPr>
        <w:t xml:space="preserve">data </w:t>
      </w:r>
      <w:r w:rsidR="003A7C98" w:rsidRPr="000E6E96">
        <w:rPr>
          <w:rFonts w:ascii="Times New Roman" w:hAnsi="Times New Roman" w:cs="Times New Roman"/>
          <w:sz w:val="22"/>
          <w:lang w:val="en-GB"/>
        </w:rPr>
        <w:t xml:space="preserve">currently </w:t>
      </w:r>
      <w:r w:rsidR="000E6E96">
        <w:rPr>
          <w:rFonts w:ascii="Times New Roman" w:hAnsi="Times New Roman" w:cs="Times New Roman"/>
          <w:sz w:val="22"/>
          <w:lang w:val="en-GB"/>
        </w:rPr>
        <w:t xml:space="preserve">includes </w:t>
      </w:r>
      <w:r w:rsidR="003A7C98" w:rsidRPr="000E6E96">
        <w:rPr>
          <w:rFonts w:ascii="Times New Roman" w:hAnsi="Times New Roman" w:cs="Times New Roman"/>
          <w:sz w:val="22"/>
          <w:lang w:val="en-GB"/>
        </w:rPr>
        <w:t>almost 60 countries</w:t>
      </w:r>
      <w:r w:rsidR="000E6E96">
        <w:rPr>
          <w:rFonts w:ascii="Times New Roman" w:hAnsi="Times New Roman" w:cs="Times New Roman"/>
          <w:sz w:val="22"/>
          <w:lang w:val="en-GB"/>
        </w:rPr>
        <w:t>, but is p</w:t>
      </w:r>
      <w:r w:rsidRPr="000E6E96">
        <w:rPr>
          <w:rFonts w:ascii="Times New Roman" w:hAnsi="Times New Roman" w:cs="Times New Roman"/>
          <w:sz w:val="22"/>
          <w:lang w:val="en-GB"/>
        </w:rPr>
        <w:t xml:space="preserve">rogressively increasing. It </w:t>
      </w:r>
      <w:r w:rsidR="003A7C98" w:rsidRPr="000E6E96">
        <w:rPr>
          <w:rFonts w:ascii="Times New Roman" w:hAnsi="Times New Roman" w:cs="Times New Roman"/>
          <w:sz w:val="22"/>
          <w:lang w:val="en-GB"/>
        </w:rPr>
        <w:t>would be</w:t>
      </w:r>
      <w:r w:rsidRPr="000E6E96">
        <w:rPr>
          <w:rFonts w:ascii="Times New Roman" w:hAnsi="Times New Roman" w:cs="Times New Roman"/>
          <w:sz w:val="22"/>
          <w:lang w:val="en-GB"/>
        </w:rPr>
        <w:t xml:space="preserve"> possible to complement the missing countries with alternative sources of data such as national accounts. </w:t>
      </w:r>
    </w:p>
    <w:p w:rsidR="000E6E96" w:rsidRPr="000E6E96" w:rsidRDefault="00B53DF1" w:rsidP="00C4116E">
      <w:pPr>
        <w:spacing w:before="240" w:after="240" w:line="240" w:lineRule="auto"/>
        <w:jc w:val="both"/>
        <w:rPr>
          <w:rFonts w:ascii="Times New Roman" w:hAnsi="Times New Roman" w:cs="Times New Roman"/>
          <w:i/>
          <w:sz w:val="22"/>
          <w:lang w:val="en-GB"/>
        </w:rPr>
      </w:pPr>
      <w:r w:rsidRPr="000E6E96">
        <w:rPr>
          <w:rFonts w:ascii="Times New Roman" w:hAnsi="Times New Roman" w:cs="Times New Roman"/>
          <w:b/>
          <w:i/>
          <w:sz w:val="22"/>
          <w:lang w:val="en-GB"/>
        </w:rPr>
        <w:t>Gender equality issues</w:t>
      </w:r>
    </w:p>
    <w:p w:rsidR="00B53DF1" w:rsidRPr="000E6E96" w:rsidRDefault="000E6E96" w:rsidP="00C4116E">
      <w:pPr>
        <w:spacing w:after="240" w:line="240" w:lineRule="auto"/>
        <w:ind w:firstLine="851"/>
        <w:jc w:val="both"/>
        <w:rPr>
          <w:rFonts w:ascii="Times New Roman" w:hAnsi="Times New Roman" w:cs="Times New Roman"/>
          <w:sz w:val="22"/>
          <w:lang w:val="en-GB"/>
        </w:rPr>
      </w:pPr>
      <w:r>
        <w:rPr>
          <w:rFonts w:ascii="Times New Roman" w:hAnsi="Times New Roman" w:cs="Times New Roman"/>
          <w:sz w:val="22"/>
          <w:lang w:val="en-GB"/>
        </w:rPr>
        <w:t>Not</w:t>
      </w:r>
      <w:r w:rsidR="00B53DF1" w:rsidRPr="000E6E96">
        <w:rPr>
          <w:rFonts w:ascii="Times New Roman" w:hAnsi="Times New Roman" w:cs="Times New Roman"/>
          <w:sz w:val="22"/>
          <w:lang w:val="en-GB"/>
        </w:rPr>
        <w:t xml:space="preserve"> </w:t>
      </w:r>
      <w:r>
        <w:rPr>
          <w:rFonts w:ascii="Times New Roman" w:hAnsi="Times New Roman" w:cs="Times New Roman"/>
          <w:sz w:val="22"/>
          <w:lang w:val="en-GB"/>
        </w:rPr>
        <w:t>applicable.</w:t>
      </w:r>
      <w:r w:rsidR="003A7C98" w:rsidRPr="000E6E96">
        <w:rPr>
          <w:rFonts w:ascii="Times New Roman" w:hAnsi="Times New Roman" w:cs="Times New Roman"/>
          <w:sz w:val="22"/>
          <w:lang w:val="en-GB"/>
        </w:rPr>
        <w:t xml:space="preserve"> </w:t>
      </w:r>
    </w:p>
    <w:p w:rsidR="000E6E96" w:rsidRPr="000E6E96" w:rsidRDefault="00B53DF1" w:rsidP="00C4116E">
      <w:pPr>
        <w:spacing w:before="240" w:after="240" w:line="240" w:lineRule="auto"/>
        <w:jc w:val="both"/>
        <w:rPr>
          <w:rFonts w:ascii="Times New Roman" w:hAnsi="Times New Roman" w:cs="Times New Roman"/>
          <w:i/>
          <w:sz w:val="22"/>
          <w:lang w:val="en-GB"/>
        </w:rPr>
      </w:pPr>
      <w:r w:rsidRPr="000E6E96">
        <w:rPr>
          <w:rFonts w:ascii="Times New Roman" w:hAnsi="Times New Roman" w:cs="Times New Roman"/>
          <w:b/>
          <w:i/>
          <w:sz w:val="22"/>
          <w:lang w:val="en-GB"/>
        </w:rPr>
        <w:t>Data for global and regional monitoring</w:t>
      </w:r>
    </w:p>
    <w:p w:rsidR="00931C9F" w:rsidRPr="000E6E96" w:rsidRDefault="00AD1F6C" w:rsidP="00C4116E">
      <w:pPr>
        <w:spacing w:after="240" w:line="240" w:lineRule="auto"/>
        <w:ind w:firstLine="851"/>
        <w:jc w:val="both"/>
        <w:rPr>
          <w:rFonts w:ascii="Times New Roman" w:hAnsi="Times New Roman" w:cs="Times New Roman"/>
          <w:sz w:val="22"/>
          <w:lang w:val="en-GB"/>
        </w:rPr>
      </w:pPr>
      <w:r w:rsidRPr="000E6E96">
        <w:rPr>
          <w:rFonts w:ascii="Times New Roman" w:hAnsi="Times New Roman" w:cs="Times New Roman"/>
          <w:sz w:val="22"/>
          <w:lang w:val="en-GB"/>
        </w:rPr>
        <w:t xml:space="preserve">The </w:t>
      </w:r>
      <w:hyperlink r:id="rId12" w:history="1">
        <w:r w:rsidRPr="000822A1">
          <w:rPr>
            <w:rStyle w:val="Hyperlink"/>
            <w:rFonts w:ascii="Times New Roman" w:hAnsi="Times New Roman" w:cs="Times New Roman"/>
            <w:i/>
            <w:sz w:val="22"/>
            <w:lang w:val="en-GB"/>
          </w:rPr>
          <w:t>OECD</w:t>
        </w:r>
        <w:r w:rsidRPr="000822A1">
          <w:rPr>
            <w:rStyle w:val="Hyperlink"/>
            <w:rFonts w:ascii="Times New Roman" w:hAnsi="Times New Roman" w:cs="Times New Roman"/>
            <w:sz w:val="22"/>
            <w:lang w:val="en-GB"/>
          </w:rPr>
          <w:t xml:space="preserve"> </w:t>
        </w:r>
        <w:r w:rsidRPr="000822A1">
          <w:rPr>
            <w:rStyle w:val="Hyperlink"/>
            <w:rFonts w:ascii="Times New Roman" w:hAnsi="Times New Roman" w:cs="Times New Roman"/>
            <w:i/>
            <w:sz w:val="22"/>
            <w:lang w:val="en-GB"/>
          </w:rPr>
          <w:t>Revenue Statistics</w:t>
        </w:r>
      </w:hyperlink>
      <w:r w:rsidRPr="000E6E96">
        <w:rPr>
          <w:rFonts w:ascii="Times New Roman" w:hAnsi="Times New Roman" w:cs="Times New Roman"/>
          <w:sz w:val="22"/>
          <w:lang w:val="en-GB"/>
        </w:rPr>
        <w:t xml:space="preserve"> </w:t>
      </w:r>
      <w:r w:rsidR="000E6E96" w:rsidRPr="000E6E96">
        <w:rPr>
          <w:rFonts w:ascii="Times New Roman" w:hAnsi="Times New Roman" w:cs="Times New Roman"/>
          <w:sz w:val="22"/>
          <w:lang w:val="en-GB"/>
        </w:rPr>
        <w:t xml:space="preserve">publication </w:t>
      </w:r>
      <w:r w:rsidRPr="000E6E96">
        <w:rPr>
          <w:rFonts w:ascii="Times New Roman" w:hAnsi="Times New Roman" w:cs="Times New Roman"/>
          <w:sz w:val="22"/>
          <w:lang w:val="en-GB"/>
        </w:rPr>
        <w:t>is an annual report presenting a unique set of internationally comparable tax data in a common format from 1965 onwards</w:t>
      </w:r>
      <w:r w:rsidR="000E6E96">
        <w:rPr>
          <w:rFonts w:ascii="Times New Roman" w:hAnsi="Times New Roman" w:cs="Times New Roman"/>
          <w:sz w:val="22"/>
          <w:lang w:val="en-GB"/>
        </w:rPr>
        <w:t xml:space="preserve"> for OECD member countries</w:t>
      </w:r>
      <w:r w:rsidRPr="000E6E96">
        <w:rPr>
          <w:rFonts w:ascii="Times New Roman" w:hAnsi="Times New Roman" w:cs="Times New Roman"/>
          <w:sz w:val="22"/>
          <w:lang w:val="en-GB"/>
        </w:rPr>
        <w:t xml:space="preserve">. </w:t>
      </w:r>
      <w:r w:rsidR="000E6E96">
        <w:rPr>
          <w:rFonts w:ascii="Times New Roman" w:hAnsi="Times New Roman" w:cs="Times New Roman"/>
          <w:sz w:val="22"/>
          <w:lang w:val="en-GB"/>
        </w:rPr>
        <w:t xml:space="preserve"> The OECD’s Revenue Statistics publications have been </w:t>
      </w:r>
      <w:r w:rsidRPr="000E6E96">
        <w:rPr>
          <w:rFonts w:ascii="Times New Roman" w:hAnsi="Times New Roman" w:cs="Times New Roman"/>
          <w:sz w:val="22"/>
          <w:lang w:val="en-GB"/>
        </w:rPr>
        <w:t xml:space="preserve">expanding to include a larger number of partner countries in three regions – Africa / Asia and Pacific Islands / Latin America and the Caribbean. </w:t>
      </w:r>
      <w:r w:rsidR="000E6E96">
        <w:rPr>
          <w:rFonts w:ascii="Times New Roman" w:hAnsi="Times New Roman" w:cs="Times New Roman"/>
          <w:sz w:val="22"/>
          <w:lang w:val="en-GB"/>
        </w:rPr>
        <w:t xml:space="preserve"> </w:t>
      </w:r>
      <w:r w:rsidRPr="000E6E96">
        <w:rPr>
          <w:rFonts w:ascii="Times New Roman" w:hAnsi="Times New Roman" w:cs="Times New Roman"/>
          <w:sz w:val="22"/>
          <w:lang w:val="en-GB"/>
        </w:rPr>
        <w:t xml:space="preserve">The OECD has published </w:t>
      </w:r>
      <w:r w:rsidR="000E6E96">
        <w:rPr>
          <w:rFonts w:ascii="Times New Roman" w:hAnsi="Times New Roman" w:cs="Times New Roman"/>
          <w:sz w:val="22"/>
          <w:lang w:val="en-GB"/>
        </w:rPr>
        <w:t>four</w:t>
      </w:r>
      <w:r w:rsidRPr="000E6E96">
        <w:rPr>
          <w:rFonts w:ascii="Times New Roman" w:hAnsi="Times New Roman" w:cs="Times New Roman"/>
          <w:sz w:val="22"/>
          <w:lang w:val="en-GB"/>
        </w:rPr>
        <w:t xml:space="preserve"> </w:t>
      </w:r>
      <w:r w:rsidR="000E6E96">
        <w:rPr>
          <w:rFonts w:ascii="Times New Roman" w:hAnsi="Times New Roman" w:cs="Times New Roman"/>
          <w:sz w:val="22"/>
          <w:lang w:val="en-GB"/>
        </w:rPr>
        <w:t xml:space="preserve">annual </w:t>
      </w:r>
      <w:r w:rsidRPr="000E6E96">
        <w:rPr>
          <w:rFonts w:ascii="Times New Roman" w:hAnsi="Times New Roman" w:cs="Times New Roman"/>
          <w:sz w:val="22"/>
          <w:lang w:val="en-GB"/>
        </w:rPr>
        <w:t>edition</w:t>
      </w:r>
      <w:r w:rsidR="000E6E96">
        <w:rPr>
          <w:rFonts w:ascii="Times New Roman" w:hAnsi="Times New Roman" w:cs="Times New Roman"/>
          <w:sz w:val="22"/>
          <w:lang w:val="en-GB"/>
        </w:rPr>
        <w:t>s</w:t>
      </w:r>
      <w:r w:rsidRPr="000E6E96">
        <w:rPr>
          <w:rFonts w:ascii="Times New Roman" w:hAnsi="Times New Roman" w:cs="Times New Roman"/>
          <w:sz w:val="22"/>
          <w:lang w:val="en-GB"/>
        </w:rPr>
        <w:t xml:space="preserve"> of </w:t>
      </w:r>
      <w:hyperlink r:id="rId13" w:history="1">
        <w:r w:rsidRPr="000822A1">
          <w:rPr>
            <w:rStyle w:val="Hyperlink"/>
            <w:rFonts w:ascii="Times New Roman" w:hAnsi="Times New Roman" w:cs="Times New Roman"/>
            <w:i/>
            <w:sz w:val="22"/>
            <w:lang w:val="en-GB"/>
          </w:rPr>
          <w:t>Revenue Statistics in Latin America and the Caribbean</w:t>
        </w:r>
      </w:hyperlink>
      <w:r w:rsidR="000E6E96" w:rsidRPr="000E6E96">
        <w:rPr>
          <w:rFonts w:ascii="Times New Roman" w:hAnsi="Times New Roman" w:cs="Times New Roman"/>
          <w:sz w:val="22"/>
          <w:lang w:val="en-GB"/>
        </w:rPr>
        <w:t xml:space="preserve"> and </w:t>
      </w:r>
      <w:r w:rsidR="000E6E96">
        <w:rPr>
          <w:rFonts w:ascii="Times New Roman" w:hAnsi="Times New Roman" w:cs="Times New Roman"/>
          <w:sz w:val="22"/>
          <w:lang w:val="en-GB"/>
        </w:rPr>
        <w:t>two annual</w:t>
      </w:r>
      <w:r w:rsidRPr="000E6E96">
        <w:rPr>
          <w:rFonts w:ascii="Times New Roman" w:hAnsi="Times New Roman" w:cs="Times New Roman"/>
          <w:sz w:val="22"/>
          <w:lang w:val="en-GB"/>
        </w:rPr>
        <w:t xml:space="preserve"> edition</w:t>
      </w:r>
      <w:r w:rsidR="000E6E96">
        <w:rPr>
          <w:rFonts w:ascii="Times New Roman" w:hAnsi="Times New Roman" w:cs="Times New Roman"/>
          <w:sz w:val="22"/>
          <w:lang w:val="en-GB"/>
        </w:rPr>
        <w:t>s</w:t>
      </w:r>
      <w:r w:rsidRPr="000E6E96">
        <w:rPr>
          <w:rFonts w:ascii="Times New Roman" w:hAnsi="Times New Roman" w:cs="Times New Roman"/>
          <w:sz w:val="22"/>
          <w:lang w:val="en-GB"/>
        </w:rPr>
        <w:t xml:space="preserve"> of </w:t>
      </w:r>
      <w:hyperlink r:id="rId14" w:history="1">
        <w:r w:rsidRPr="000822A1">
          <w:rPr>
            <w:rStyle w:val="Hyperlink"/>
            <w:rFonts w:ascii="Times New Roman" w:hAnsi="Times New Roman" w:cs="Times New Roman"/>
            <w:i/>
            <w:sz w:val="22"/>
            <w:lang w:val="en-GB"/>
          </w:rPr>
          <w:t>Revenue Statistics in Asian countries</w:t>
        </w:r>
      </w:hyperlink>
      <w:r w:rsidRPr="000E6E96">
        <w:rPr>
          <w:rFonts w:ascii="Times New Roman" w:hAnsi="Times New Roman" w:cs="Times New Roman"/>
          <w:sz w:val="22"/>
          <w:lang w:val="en-GB"/>
        </w:rPr>
        <w:t xml:space="preserve">. The </w:t>
      </w:r>
      <w:r w:rsidR="000E6E96">
        <w:rPr>
          <w:rFonts w:ascii="Times New Roman" w:hAnsi="Times New Roman" w:cs="Times New Roman"/>
          <w:sz w:val="22"/>
          <w:lang w:val="en-GB"/>
        </w:rPr>
        <w:t xml:space="preserve">OECD is currently working towards the publication of </w:t>
      </w:r>
      <w:r w:rsidRPr="000E6E96">
        <w:rPr>
          <w:rFonts w:ascii="Times New Roman" w:hAnsi="Times New Roman" w:cs="Times New Roman"/>
          <w:sz w:val="22"/>
          <w:lang w:val="en-GB"/>
        </w:rPr>
        <w:t xml:space="preserve">the first edition of </w:t>
      </w:r>
      <w:r w:rsidRPr="000E6E96">
        <w:rPr>
          <w:rFonts w:ascii="Times New Roman" w:hAnsi="Times New Roman" w:cs="Times New Roman"/>
          <w:i/>
          <w:sz w:val="22"/>
          <w:lang w:val="en-GB"/>
        </w:rPr>
        <w:t>Revenue Statistics in Africa</w:t>
      </w:r>
      <w:r w:rsidR="000E6E96">
        <w:rPr>
          <w:rFonts w:ascii="Times New Roman" w:hAnsi="Times New Roman" w:cs="Times New Roman"/>
          <w:sz w:val="22"/>
          <w:lang w:val="en-GB"/>
        </w:rPr>
        <w:t xml:space="preserve">, due to be released in </w:t>
      </w:r>
      <w:r w:rsidRPr="000E6E96">
        <w:rPr>
          <w:rFonts w:ascii="Times New Roman" w:hAnsi="Times New Roman" w:cs="Times New Roman"/>
          <w:sz w:val="22"/>
          <w:lang w:val="en-GB"/>
        </w:rPr>
        <w:t>early 2016.</w:t>
      </w:r>
    </w:p>
    <w:p w:rsidR="000E6E96" w:rsidRPr="000E6E96" w:rsidRDefault="00B53DF1" w:rsidP="00C4116E">
      <w:pPr>
        <w:spacing w:before="240" w:after="240" w:line="240" w:lineRule="auto"/>
        <w:jc w:val="both"/>
        <w:rPr>
          <w:rFonts w:ascii="Times New Roman" w:hAnsi="Times New Roman" w:cs="Times New Roman"/>
          <w:i/>
          <w:sz w:val="22"/>
          <w:lang w:val="en-GB"/>
        </w:rPr>
      </w:pPr>
      <w:r w:rsidRPr="000E6E96">
        <w:rPr>
          <w:rFonts w:ascii="Times New Roman" w:hAnsi="Times New Roman" w:cs="Times New Roman"/>
          <w:b/>
          <w:i/>
          <w:sz w:val="22"/>
          <w:lang w:val="en-GB"/>
        </w:rPr>
        <w:t>Supplementary information</w:t>
      </w:r>
    </w:p>
    <w:p w:rsidR="00B53DF1" w:rsidRPr="000E6E96" w:rsidRDefault="003A7C98" w:rsidP="00C4116E">
      <w:pPr>
        <w:spacing w:after="240" w:line="240" w:lineRule="auto"/>
        <w:ind w:firstLine="851"/>
        <w:jc w:val="both"/>
        <w:rPr>
          <w:rFonts w:ascii="Times New Roman" w:hAnsi="Times New Roman" w:cs="Times New Roman"/>
          <w:sz w:val="22"/>
          <w:lang w:val="en-GB"/>
        </w:rPr>
      </w:pPr>
      <w:r w:rsidRPr="000E6E96">
        <w:rPr>
          <w:rFonts w:ascii="Times New Roman" w:hAnsi="Times New Roman" w:cs="Times New Roman"/>
          <w:sz w:val="22"/>
          <w:lang w:val="en-GB"/>
        </w:rPr>
        <w:t xml:space="preserve">Methodology of collection and classification and data are on-line. They are publicly available at all time, freely reusable for analysis. </w:t>
      </w:r>
    </w:p>
    <w:p w:rsidR="00B53DF1" w:rsidRPr="000E6E96" w:rsidRDefault="00B53DF1" w:rsidP="00C4116E">
      <w:pPr>
        <w:spacing w:before="240" w:after="240" w:line="240" w:lineRule="auto"/>
        <w:jc w:val="both"/>
        <w:rPr>
          <w:rFonts w:ascii="Times New Roman" w:hAnsi="Times New Roman" w:cs="Times New Roman"/>
          <w:b/>
          <w:i/>
          <w:sz w:val="22"/>
          <w:lang w:val="en-GB"/>
        </w:rPr>
      </w:pPr>
      <w:r w:rsidRPr="000E6E96">
        <w:rPr>
          <w:rFonts w:ascii="Times New Roman" w:hAnsi="Times New Roman" w:cs="Times New Roman"/>
          <w:b/>
          <w:i/>
          <w:sz w:val="22"/>
          <w:lang w:val="en-GB"/>
        </w:rPr>
        <w:t>References</w:t>
      </w:r>
    </w:p>
    <w:p w:rsidR="00AD1F6C" w:rsidRPr="00C362DA" w:rsidRDefault="00951C59" w:rsidP="00C4116E">
      <w:pPr>
        <w:spacing w:after="240" w:line="240" w:lineRule="auto"/>
        <w:ind w:firstLine="851"/>
        <w:jc w:val="both"/>
        <w:rPr>
          <w:rFonts w:ascii="Times New Roman" w:hAnsi="Times New Roman" w:cs="Times New Roman"/>
          <w:sz w:val="22"/>
          <w:lang w:val="en-GB"/>
        </w:rPr>
      </w:pPr>
      <w:hyperlink r:id="rId15" w:history="1">
        <w:r w:rsidR="000E6E96" w:rsidRPr="00D56899">
          <w:rPr>
            <w:rStyle w:val="Hyperlink"/>
            <w:rFonts w:ascii="Times New Roman" w:hAnsi="Times New Roman" w:cs="Times New Roman"/>
            <w:sz w:val="22"/>
            <w:lang w:val="en-GB"/>
          </w:rPr>
          <w:t>http://stats.oecd.org/Index.aspx?lang=en&amp;SubSessionId=bce616ae-0181-41e1-aae7-4d820bbd68e1&amp;themetreeid=18</w:t>
        </w:r>
      </w:hyperlink>
      <w:r w:rsidR="000E6E96">
        <w:rPr>
          <w:rFonts w:ascii="Times New Roman" w:hAnsi="Times New Roman" w:cs="Times New Roman"/>
          <w:sz w:val="22"/>
          <w:lang w:val="en-GB"/>
        </w:rPr>
        <w:t xml:space="preserve"> </w:t>
      </w:r>
    </w:p>
    <w:p w:rsidR="002161DD" w:rsidRDefault="002161DD">
      <w:pPr>
        <w:spacing w:after="200" w:line="276" w:lineRule="auto"/>
        <w:rPr>
          <w:rFonts w:ascii="Times New Roman" w:hAnsi="Times New Roman" w:cs="Times New Roman"/>
          <w:sz w:val="22"/>
          <w:lang w:val="en-GB"/>
        </w:rPr>
      </w:pPr>
      <w:r>
        <w:rPr>
          <w:rFonts w:ascii="Times New Roman" w:hAnsi="Times New Roman" w:cs="Times New Roman"/>
          <w:sz w:val="22"/>
          <w:lang w:val="en-GB"/>
        </w:rPr>
        <w:br w:type="page"/>
      </w:r>
    </w:p>
    <w:p w:rsidR="002161DD" w:rsidRPr="002161DD" w:rsidRDefault="002161DD" w:rsidP="002161DD">
      <w:pPr>
        <w:keepNext/>
        <w:tabs>
          <w:tab w:val="left" w:pos="850"/>
          <w:tab w:val="left" w:pos="1191"/>
          <w:tab w:val="left" w:pos="1531"/>
        </w:tabs>
        <w:spacing w:before="1200" w:after="720" w:line="240" w:lineRule="auto"/>
        <w:jc w:val="center"/>
        <w:outlineLvl w:val="0"/>
        <w:rPr>
          <w:rFonts w:ascii="Times New Roman" w:eastAsia="Times New Roman" w:hAnsi="Times New Roman" w:cs="Times New Roman"/>
          <w:b/>
          <w:bCs/>
          <w:caps/>
          <w:kern w:val="28"/>
          <w:sz w:val="22"/>
          <w:lang w:val="en-GB" w:eastAsia="zh-CN"/>
        </w:rPr>
      </w:pPr>
      <w:r w:rsidRPr="002161DD">
        <w:rPr>
          <w:rFonts w:ascii="Times New Roman" w:eastAsia="Times New Roman" w:hAnsi="Times New Roman" w:cs="Times New Roman"/>
          <w:b/>
          <w:bCs/>
          <w:caps/>
          <w:kern w:val="28"/>
          <w:sz w:val="22"/>
          <w:lang w:val="en-GB" w:eastAsia="zh-CN"/>
        </w:rPr>
        <w:lastRenderedPageBreak/>
        <w:fldChar w:fldCharType="begin"/>
      </w:r>
      <w:r w:rsidRPr="002161DD">
        <w:rPr>
          <w:rFonts w:ascii="Times New Roman" w:eastAsia="Times New Roman" w:hAnsi="Times New Roman" w:cs="Times New Roman"/>
          <w:b/>
          <w:bCs/>
          <w:caps/>
          <w:kern w:val="28"/>
          <w:sz w:val="22"/>
          <w:lang w:val="en-GB" w:eastAsia="zh-CN"/>
        </w:rPr>
        <w:instrText xml:space="preserve"> MACROBUTTON NUMBERING </w:instrText>
      </w:r>
      <w:r w:rsidRPr="002161DD">
        <w:rPr>
          <w:rFonts w:ascii="Times New Roman" w:eastAsia="Times New Roman" w:hAnsi="Times New Roman" w:cs="Times New Roman"/>
          <w:b/>
          <w:bCs/>
          <w:caps/>
          <w:kern w:val="28"/>
          <w:sz w:val="22"/>
          <w:lang w:val="en-GB" w:eastAsia="zh-CN"/>
        </w:rPr>
        <w:fldChar w:fldCharType="begin"/>
      </w:r>
      <w:r w:rsidRPr="002161DD">
        <w:rPr>
          <w:rFonts w:ascii="Times New Roman" w:eastAsia="Times New Roman" w:hAnsi="Times New Roman" w:cs="Times New Roman"/>
          <w:b/>
          <w:bCs/>
          <w:caps/>
          <w:kern w:val="28"/>
          <w:sz w:val="22"/>
          <w:lang w:val="en-GB" w:eastAsia="zh-CN"/>
        </w:rPr>
        <w:instrText xml:space="preserve"> SEQ  cpara \h \r 0</w:instrText>
      </w:r>
      <w:r w:rsidRPr="002161DD">
        <w:rPr>
          <w:rFonts w:ascii="Times New Roman" w:eastAsia="Times New Roman" w:hAnsi="Times New Roman" w:cs="Times New Roman"/>
          <w:b/>
          <w:bCs/>
          <w:caps/>
          <w:kern w:val="28"/>
          <w:sz w:val="22"/>
          <w:lang w:val="en-GB" w:eastAsia="zh-CN"/>
        </w:rPr>
        <w:fldChar w:fldCharType="end"/>
      </w:r>
      <w:r w:rsidRPr="002161DD">
        <w:rPr>
          <w:rFonts w:ascii="Times New Roman" w:eastAsia="Times New Roman" w:hAnsi="Times New Roman" w:cs="Times New Roman"/>
          <w:b/>
          <w:bCs/>
          <w:caps/>
          <w:kern w:val="28"/>
          <w:sz w:val="22"/>
          <w:lang w:val="en-GB" w:eastAsia="zh-CN"/>
        </w:rPr>
        <w:fldChar w:fldCharType="begin"/>
      </w:r>
      <w:r w:rsidRPr="002161DD">
        <w:rPr>
          <w:rFonts w:ascii="Times New Roman" w:eastAsia="Times New Roman" w:hAnsi="Times New Roman" w:cs="Times New Roman"/>
          <w:b/>
          <w:bCs/>
          <w:caps/>
          <w:kern w:val="28"/>
          <w:sz w:val="22"/>
          <w:lang w:val="en-GB" w:eastAsia="zh-CN"/>
        </w:rPr>
        <w:instrText xml:space="preserve"> SEQ  ccount \h</w:instrText>
      </w:r>
      <w:r w:rsidRPr="002161DD">
        <w:rPr>
          <w:rFonts w:ascii="Times New Roman" w:eastAsia="Times New Roman" w:hAnsi="Times New Roman" w:cs="Times New Roman"/>
          <w:b/>
          <w:bCs/>
          <w:caps/>
          <w:kern w:val="28"/>
          <w:sz w:val="22"/>
          <w:lang w:val="en-GB" w:eastAsia="zh-CN"/>
        </w:rPr>
        <w:fldChar w:fldCharType="end"/>
      </w:r>
      <w:r w:rsidRPr="002161DD">
        <w:rPr>
          <w:rFonts w:ascii="Times New Roman" w:eastAsia="Times New Roman" w:hAnsi="Times New Roman" w:cs="Times New Roman"/>
          <w:b/>
          <w:bCs/>
          <w:caps/>
          <w:kern w:val="28"/>
          <w:sz w:val="22"/>
          <w:lang w:val="en-GB" w:eastAsia="zh-CN"/>
        </w:rPr>
        <w:fldChar w:fldCharType="end"/>
      </w:r>
      <w:r w:rsidRPr="002161DD">
        <w:rPr>
          <w:rFonts w:ascii="Times New Roman" w:eastAsia="Times New Roman" w:hAnsi="Times New Roman" w:cs="Times New Roman"/>
          <w:b/>
          <w:bCs/>
          <w:caps/>
          <w:kern w:val="28"/>
          <w:sz w:val="22"/>
          <w:lang w:val="en-GB" w:eastAsia="zh-CN"/>
        </w:rPr>
        <w:t xml:space="preserve"> domestic value-added content embodied in each country’s exports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Goal and targets addressed</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zh-CN"/>
        </w:rPr>
        <w:t xml:space="preserve">Goal 17: </w:t>
      </w:r>
      <w:r w:rsidRPr="002161DD">
        <w:rPr>
          <w:rFonts w:ascii="Times New Roman" w:eastAsia="Times New Roman" w:hAnsi="Times New Roman" w:cs="Times New Roman"/>
          <w:sz w:val="22"/>
          <w:lang w:val="en-GB" w:eastAsia="en-GB"/>
        </w:rPr>
        <w:t>Strengthen the means of implementation and revitalize the global partnership for sustainable development</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 xml:space="preserve">Target 17.11: Significantly increase the exports of developing countries, in particular with a view to doubling the least developed countries’ share of global exports by 2020.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Indicators</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Domestic Value-Added content as a share of total exports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Definition and method of computation</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The proposal is to define the concept of exports used here on the basis of the Trade in Value Added concept rather than, or at least as complement to, the gross concept. This entails measuring for each country the Domestic Value-Added content embodied in each country’s exports, such that the total Domestic Value Added (DVA) embodied in a country’s exports E could be estimated as:</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color w:val="1F497D"/>
          <w:sz w:val="22"/>
          <w:lang w:val="en-GB" w:eastAsia="zh-CN"/>
        </w:rPr>
      </w:pPr>
      <w:r w:rsidRPr="002161DD">
        <w:rPr>
          <w:rFonts w:ascii="Times New Roman" w:eastAsia="Times New Roman" w:hAnsi="Times New Roman" w:cs="Times New Roman"/>
          <w:sz w:val="22"/>
          <w:lang w:val="en-GB" w:eastAsia="zh-CN"/>
        </w:rPr>
        <w:t>DVA = V*(I-A)</w:t>
      </w:r>
      <w:r w:rsidRPr="002161DD">
        <w:rPr>
          <w:rFonts w:ascii="Times New Roman" w:eastAsia="Times New Roman" w:hAnsi="Times New Roman" w:cs="Times New Roman"/>
          <w:sz w:val="22"/>
          <w:vertAlign w:val="superscript"/>
          <w:lang w:val="en-GB" w:eastAsia="zh-CN"/>
        </w:rPr>
        <w:t>-1</w:t>
      </w:r>
      <w:r w:rsidRPr="002161DD">
        <w:rPr>
          <w:rFonts w:ascii="Times New Roman" w:eastAsia="Times New Roman" w:hAnsi="Times New Roman" w:cs="Times New Roman"/>
          <w:sz w:val="22"/>
          <w:lang w:val="en-GB" w:eastAsia="zh-CN"/>
        </w:rPr>
        <w:t>*E  + taxes paid/subsidies received by purchasers on Exports to/from the exporting economy</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color w:val="1F497D"/>
          <w:sz w:val="22"/>
          <w:lang w:val="en-GB" w:eastAsia="zh-CN"/>
        </w:rPr>
      </w:pPr>
      <w:r w:rsidRPr="002161DD">
        <w:rPr>
          <w:rFonts w:ascii="Times New Roman" w:eastAsia="Times New Roman" w:hAnsi="Times New Roman" w:cs="Times New Roman"/>
          <w:sz w:val="22"/>
          <w:lang w:val="en-GB" w:eastAsia="zh-CN"/>
        </w:rPr>
        <w:t xml:space="preserve">Two approaches can be used. </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color w:val="1F497D"/>
          <w:sz w:val="22"/>
          <w:lang w:val="en-GB" w:eastAsia="zh-CN"/>
        </w:rPr>
      </w:pPr>
      <w:r w:rsidRPr="002161DD">
        <w:rPr>
          <w:rFonts w:ascii="Times New Roman" w:eastAsia="Times New Roman" w:hAnsi="Times New Roman" w:cs="Times New Roman"/>
          <w:sz w:val="22"/>
          <w:lang w:val="en-GB" w:eastAsia="zh-CN"/>
        </w:rPr>
        <w:t xml:space="preserve">The first follows the </w:t>
      </w:r>
      <w:r w:rsidRPr="002161DD">
        <w:rPr>
          <w:rFonts w:ascii="Times New Roman" w:eastAsia="Times New Roman" w:hAnsi="Times New Roman" w:cs="Times New Roman"/>
          <w:i/>
          <w:iCs/>
          <w:sz w:val="22"/>
          <w:lang w:val="en-GB" w:eastAsia="zh-CN"/>
        </w:rPr>
        <w:t>industry by industry</w:t>
      </w:r>
      <w:r w:rsidRPr="002161DD">
        <w:rPr>
          <w:rFonts w:ascii="Times New Roman" w:eastAsia="Times New Roman" w:hAnsi="Times New Roman" w:cs="Times New Roman"/>
          <w:sz w:val="22"/>
          <w:lang w:val="en-GB" w:eastAsia="zh-CN"/>
        </w:rPr>
        <w:t xml:space="preserve"> formulation w</w:t>
      </w:r>
      <w:r w:rsidRPr="002161DD">
        <w:rPr>
          <w:rFonts w:ascii="Times New Roman" w:eastAsia="Times New Roman" w:hAnsi="Times New Roman" w:cs="Times New Roman"/>
          <w:color w:val="1F497D"/>
          <w:sz w:val="22"/>
          <w:lang w:val="en-GB" w:eastAsia="zh-CN"/>
        </w:rPr>
        <w:t xml:space="preserve">here: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V is a (1*n) vector, with V</w:t>
      </w:r>
      <w:r w:rsidRPr="002161DD">
        <w:rPr>
          <w:rFonts w:ascii="Times New Roman" w:eastAsia="Times New Roman" w:hAnsi="Times New Roman" w:cs="Times New Roman"/>
          <w:sz w:val="22"/>
          <w:vertAlign w:val="subscript"/>
          <w:lang w:val="en-GB" w:eastAsia="zh-CN"/>
        </w:rPr>
        <w:t>1j</w:t>
      </w:r>
      <w:r w:rsidRPr="002161DD">
        <w:rPr>
          <w:rFonts w:ascii="Times New Roman" w:eastAsia="Times New Roman" w:hAnsi="Times New Roman" w:cs="Times New Roman"/>
          <w:sz w:val="22"/>
          <w:lang w:val="en-GB" w:eastAsia="zh-CN"/>
        </w:rPr>
        <w:t xml:space="preserve"> reflecting the value-added to output ratio of industry </w:t>
      </w:r>
      <w:r w:rsidRPr="002161DD">
        <w:rPr>
          <w:rFonts w:ascii="Times New Roman" w:eastAsia="Times New Roman" w:hAnsi="Times New Roman" w:cs="Times New Roman"/>
          <w:i/>
          <w:iCs/>
          <w:sz w:val="22"/>
          <w:lang w:val="en-GB" w:eastAsia="zh-CN"/>
        </w:rPr>
        <w:t xml:space="preserve">j </w:t>
      </w:r>
      <w:r w:rsidRPr="002161DD">
        <w:rPr>
          <w:rFonts w:ascii="Times New Roman" w:eastAsia="Times New Roman" w:hAnsi="Times New Roman" w:cs="Times New Roman"/>
          <w:sz w:val="22"/>
          <w:lang w:val="en-GB" w:eastAsia="zh-CN"/>
        </w:rPr>
        <w:t xml:space="preserve">and </w:t>
      </w:r>
      <w:r w:rsidRPr="002161DD">
        <w:rPr>
          <w:rFonts w:ascii="Times New Roman" w:eastAsia="Times New Roman" w:hAnsi="Times New Roman" w:cs="Times New Roman"/>
          <w:i/>
          <w:iCs/>
          <w:sz w:val="22"/>
          <w:lang w:val="en-GB" w:eastAsia="zh-CN"/>
        </w:rPr>
        <w:t>n</w:t>
      </w:r>
      <w:r w:rsidRPr="002161DD">
        <w:rPr>
          <w:rFonts w:ascii="Times New Roman" w:eastAsia="Times New Roman" w:hAnsi="Times New Roman" w:cs="Times New Roman"/>
          <w:sz w:val="22"/>
          <w:lang w:val="en-GB" w:eastAsia="zh-CN"/>
        </w:rPr>
        <w:t xml:space="preserve"> is the number of industry groupings used.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(I-A)</w:t>
      </w:r>
      <w:r w:rsidRPr="002161DD">
        <w:rPr>
          <w:rFonts w:ascii="Times New Roman" w:eastAsia="Times New Roman" w:hAnsi="Times New Roman" w:cs="Times New Roman"/>
          <w:sz w:val="22"/>
          <w:vertAlign w:val="superscript"/>
          <w:lang w:val="en-GB" w:eastAsia="zh-CN"/>
        </w:rPr>
        <w:t xml:space="preserve">-1   </w:t>
      </w:r>
      <w:r w:rsidRPr="002161DD">
        <w:rPr>
          <w:rFonts w:ascii="Times New Roman" w:eastAsia="Times New Roman" w:hAnsi="Times New Roman" w:cs="Times New Roman"/>
          <w:sz w:val="22"/>
          <w:lang w:val="en-GB" w:eastAsia="zh-CN"/>
        </w:rPr>
        <w:t>is the classic Leontief inverse matrix of size n*n, with A</w:t>
      </w:r>
      <w:r w:rsidRPr="002161DD">
        <w:rPr>
          <w:rFonts w:ascii="Times New Roman" w:eastAsia="Times New Roman" w:hAnsi="Times New Roman" w:cs="Times New Roman"/>
          <w:sz w:val="22"/>
          <w:vertAlign w:val="subscript"/>
          <w:lang w:val="en-GB" w:eastAsia="zh-CN"/>
        </w:rPr>
        <w:t>ij</w:t>
      </w:r>
      <w:r w:rsidRPr="002161DD">
        <w:rPr>
          <w:rFonts w:ascii="Times New Roman" w:eastAsia="Times New Roman" w:hAnsi="Times New Roman" w:cs="Times New Roman"/>
          <w:sz w:val="22"/>
          <w:lang w:val="en-GB" w:eastAsia="zh-CN"/>
        </w:rPr>
        <w:t xml:space="preserve">  reflecting the intermediate consumption by industry j of goods and/or services produced by </w:t>
      </w:r>
      <w:r w:rsidRPr="002161DD">
        <w:rPr>
          <w:rFonts w:ascii="Times New Roman" w:eastAsia="Times New Roman" w:hAnsi="Times New Roman" w:cs="Times New Roman"/>
          <w:sz w:val="22"/>
          <w:u w:val="single"/>
          <w:lang w:val="en-GB" w:eastAsia="zh-CN"/>
        </w:rPr>
        <w:t>resident</w:t>
      </w:r>
      <w:r w:rsidRPr="002161DD">
        <w:rPr>
          <w:rFonts w:ascii="Times New Roman" w:eastAsia="Times New Roman" w:hAnsi="Times New Roman" w:cs="Times New Roman"/>
          <w:sz w:val="22"/>
          <w:lang w:val="en-GB" w:eastAsia="zh-CN"/>
        </w:rPr>
        <w:t xml:space="preserve"> industry i.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E an n*1 vector of exports,  where  E</w:t>
      </w:r>
      <w:r w:rsidRPr="002161DD">
        <w:rPr>
          <w:rFonts w:ascii="Times New Roman" w:eastAsia="Times New Roman" w:hAnsi="Times New Roman" w:cs="Times New Roman"/>
          <w:sz w:val="22"/>
          <w:vertAlign w:val="subscript"/>
          <w:lang w:val="en-GB" w:eastAsia="zh-CN"/>
        </w:rPr>
        <w:t>i1</w:t>
      </w:r>
      <w:r w:rsidRPr="002161DD">
        <w:rPr>
          <w:rFonts w:ascii="Times New Roman" w:eastAsia="Times New Roman" w:hAnsi="Times New Roman" w:cs="Times New Roman"/>
          <w:sz w:val="22"/>
          <w:lang w:val="en-GB" w:eastAsia="zh-CN"/>
        </w:rPr>
        <w:t xml:space="preserve"> reflects  exports by industry i.  </w:t>
      </w:r>
    </w:p>
    <w:p w:rsidR="002161DD" w:rsidRPr="002161DD" w:rsidRDefault="002161DD" w:rsidP="002161DD">
      <w:pPr>
        <w:tabs>
          <w:tab w:val="left" w:pos="850"/>
          <w:tab w:val="left" w:pos="1191"/>
          <w:tab w:val="left" w:pos="1531"/>
        </w:tabs>
        <w:spacing w:after="0" w:line="240" w:lineRule="auto"/>
        <w:ind w:left="72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The System of National Accounts recommends that value-added and output be calculated on the basis of basic prices. For the TiVA based calculation however, any taxes/ subsidies on products paid/received on intermediate consumption and that are not reimbursable/re-payable should be </w:t>
      </w:r>
      <w:r w:rsidRPr="002161DD">
        <w:rPr>
          <w:rFonts w:ascii="Times New Roman" w:eastAsia="Times New Roman" w:hAnsi="Times New Roman" w:cs="Times New Roman"/>
          <w:sz w:val="22"/>
          <w:u w:val="single"/>
          <w:lang w:val="en-GB" w:eastAsia="zh-CN"/>
        </w:rPr>
        <w:t xml:space="preserve">included </w:t>
      </w:r>
      <w:r w:rsidRPr="002161DD">
        <w:rPr>
          <w:rFonts w:ascii="Times New Roman" w:eastAsia="Times New Roman" w:hAnsi="Times New Roman" w:cs="Times New Roman"/>
          <w:sz w:val="22"/>
          <w:lang w:val="en-GB" w:eastAsia="zh-CN"/>
        </w:rPr>
        <w:t>in the measure of  value-added described above, as these payments/receipts affect the export price with the taxes/subsidies having a direct impact on GDP within the economy. Output must be measured at basic prices and not purchasers or producers prices as in many countries taxes paid/subsidies received on exported products differ from the same products sold domestically. Exports in the SNA follow the f.o.b (free on board) valuation. Taxes paid/subsidies received by purchasers on exports to/from the exporting economy will be typically marginal but should be included where relevant.</w:t>
      </w:r>
    </w:p>
    <w:p w:rsidR="002161DD" w:rsidRPr="002161DD" w:rsidRDefault="002161DD" w:rsidP="002161DD">
      <w:pPr>
        <w:tabs>
          <w:tab w:val="left" w:pos="850"/>
          <w:tab w:val="left" w:pos="1191"/>
          <w:tab w:val="left" w:pos="1531"/>
        </w:tabs>
        <w:spacing w:after="0" w:line="240" w:lineRule="auto"/>
        <w:ind w:left="720"/>
        <w:contextualSpacing/>
        <w:jc w:val="both"/>
        <w:rPr>
          <w:rFonts w:ascii="Times New Roman" w:eastAsia="Times New Roman" w:hAnsi="Times New Roman" w:cs="Times New Roman"/>
          <w:color w:val="1F497D"/>
          <w:sz w:val="22"/>
          <w:lang w:val="en-GB" w:eastAsia="zh-CN"/>
        </w:rPr>
      </w:pP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color w:val="1F497D"/>
          <w:sz w:val="22"/>
          <w:lang w:val="en-GB" w:eastAsia="zh-CN"/>
        </w:rPr>
      </w:pPr>
      <w:r w:rsidRPr="002161DD">
        <w:rPr>
          <w:rFonts w:ascii="Times New Roman" w:eastAsia="Times New Roman" w:hAnsi="Times New Roman" w:cs="Times New Roman"/>
          <w:sz w:val="22"/>
          <w:lang w:val="en-GB" w:eastAsia="zh-CN"/>
        </w:rPr>
        <w:t xml:space="preserve">The second approach follows the </w:t>
      </w:r>
      <w:r w:rsidRPr="002161DD">
        <w:rPr>
          <w:rFonts w:ascii="Times New Roman" w:eastAsia="Times New Roman" w:hAnsi="Times New Roman" w:cs="Times New Roman"/>
          <w:i/>
          <w:iCs/>
          <w:sz w:val="22"/>
          <w:lang w:val="en-GB" w:eastAsia="zh-CN"/>
        </w:rPr>
        <w:t>product by product</w:t>
      </w:r>
      <w:r w:rsidRPr="002161DD">
        <w:rPr>
          <w:rFonts w:ascii="Times New Roman" w:eastAsia="Times New Roman" w:hAnsi="Times New Roman" w:cs="Times New Roman"/>
          <w:sz w:val="22"/>
          <w:lang w:val="en-GB" w:eastAsia="zh-CN"/>
        </w:rPr>
        <w:t xml:space="preserve"> formulation where:</w:t>
      </w:r>
      <w:r w:rsidRPr="002161DD">
        <w:rPr>
          <w:rFonts w:ascii="Times New Roman" w:eastAsia="Times New Roman" w:hAnsi="Times New Roman" w:cs="Times New Roman"/>
          <w:color w:val="1F497D"/>
          <w:sz w:val="22"/>
          <w:lang w:val="en-GB" w:eastAsia="zh-CN"/>
        </w:rPr>
        <w:t xml:space="preserve">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lastRenderedPageBreak/>
        <w:t> V is a (1*n) vector, with V</w:t>
      </w:r>
      <w:r w:rsidRPr="002161DD">
        <w:rPr>
          <w:rFonts w:ascii="Times New Roman" w:eastAsia="Times New Roman" w:hAnsi="Times New Roman" w:cs="Times New Roman"/>
          <w:sz w:val="22"/>
          <w:vertAlign w:val="subscript"/>
          <w:lang w:val="en-GB" w:eastAsia="zh-CN"/>
        </w:rPr>
        <w:t>1j</w:t>
      </w:r>
      <w:r w:rsidRPr="002161DD">
        <w:rPr>
          <w:rFonts w:ascii="Times New Roman" w:eastAsia="Times New Roman" w:hAnsi="Times New Roman" w:cs="Times New Roman"/>
          <w:sz w:val="22"/>
          <w:lang w:val="en-GB" w:eastAsia="zh-CN"/>
        </w:rPr>
        <w:t xml:space="preserve"> reflecting the value-added to output ratio of product  j and n is the number of product  groupings used.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(I-A)-1   is the classic Leontief inverse matrix of size n*n, with A</w:t>
      </w:r>
      <w:r w:rsidRPr="002161DD">
        <w:rPr>
          <w:rFonts w:ascii="Times New Roman" w:eastAsia="Times New Roman" w:hAnsi="Times New Roman" w:cs="Times New Roman"/>
          <w:sz w:val="22"/>
          <w:vertAlign w:val="subscript"/>
          <w:lang w:val="en-GB" w:eastAsia="zh-CN"/>
        </w:rPr>
        <w:t>ij</w:t>
      </w:r>
      <w:r w:rsidRPr="002161DD">
        <w:rPr>
          <w:rFonts w:ascii="Times New Roman" w:eastAsia="Times New Roman" w:hAnsi="Times New Roman" w:cs="Times New Roman"/>
          <w:sz w:val="22"/>
          <w:lang w:val="en-GB" w:eastAsia="zh-CN"/>
        </w:rPr>
        <w:t xml:space="preserve">  reflecting the intermediate consumption purchased in the production of product  j of product i. </w:t>
      </w:r>
    </w:p>
    <w:p w:rsidR="002161DD" w:rsidRPr="002161DD" w:rsidRDefault="002161DD" w:rsidP="002161DD">
      <w:pPr>
        <w:tabs>
          <w:tab w:val="num" w:pos="1190"/>
        </w:tabs>
        <w:spacing w:after="240" w:line="240" w:lineRule="auto"/>
        <w:ind w:left="1190" w:hanging="34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E an n*1 vector of exports,  where  E</w:t>
      </w:r>
      <w:r w:rsidRPr="002161DD">
        <w:rPr>
          <w:rFonts w:ascii="Times New Roman" w:eastAsia="Times New Roman" w:hAnsi="Times New Roman" w:cs="Times New Roman"/>
          <w:sz w:val="22"/>
          <w:vertAlign w:val="subscript"/>
          <w:lang w:val="en-GB" w:eastAsia="zh-CN"/>
        </w:rPr>
        <w:t>i1</w:t>
      </w:r>
      <w:r w:rsidRPr="002161DD">
        <w:rPr>
          <w:rFonts w:ascii="Times New Roman" w:eastAsia="Times New Roman" w:hAnsi="Times New Roman" w:cs="Times New Roman"/>
          <w:sz w:val="22"/>
          <w:lang w:val="en-GB" w:eastAsia="zh-CN"/>
        </w:rPr>
        <w:t xml:space="preserve"> reflects  exports of product  i.  </w:t>
      </w:r>
    </w:p>
    <w:p w:rsidR="002161DD" w:rsidRPr="002161DD" w:rsidRDefault="002161DD" w:rsidP="002161DD">
      <w:pPr>
        <w:tabs>
          <w:tab w:val="left" w:pos="850"/>
          <w:tab w:val="left" w:pos="1191"/>
          <w:tab w:val="left" w:pos="1531"/>
        </w:tabs>
        <w:spacing w:after="0" w:line="240" w:lineRule="auto"/>
        <w:ind w:left="720"/>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The System of National Accounts recommends that value-added and output be calculated on the basis of basic prices. For the TiVA based calculation however, any taxes/ subsidies on products paid/received on intermediate consumption and that are not reimbursable/re-payable should be </w:t>
      </w:r>
      <w:r w:rsidRPr="002161DD">
        <w:rPr>
          <w:rFonts w:ascii="Times New Roman" w:eastAsia="Times New Roman" w:hAnsi="Times New Roman" w:cs="Times New Roman"/>
          <w:sz w:val="22"/>
          <w:u w:val="single"/>
          <w:lang w:val="en-GB" w:eastAsia="zh-CN"/>
        </w:rPr>
        <w:t xml:space="preserve">included </w:t>
      </w:r>
      <w:r w:rsidRPr="002161DD">
        <w:rPr>
          <w:rFonts w:ascii="Times New Roman" w:eastAsia="Times New Roman" w:hAnsi="Times New Roman" w:cs="Times New Roman"/>
          <w:sz w:val="22"/>
          <w:lang w:val="en-GB" w:eastAsia="zh-CN"/>
        </w:rPr>
        <w:t>in the measure of  value-added described above, as these payments/receipts affect the export price with the taxes/subsidies having a direct impact on GDP within the economy. Output must be measured at basic prices and not purchasers or producers prices as in many countries taxes paid/subsidies received on exported products differ from the same products sold domestically. Exports in the SNA follow the f.o.b (free on board) valuation. Taxes paid/subsidies received by purchasers on exports to/from the exporting economy will be typically marginal but should be included where relevant.</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Rationale and interpretation</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International fragmentation of production has accelerated in recent decades and it has become increasingly clear that measures of gross trade can provide a distorted perspective of the benefits of trade to GDP.  The OECD-WTO TiVA database for example illustrates that the foreign content of exports varies from between 10% and 60% at the total economy level with even larger differences at the level of individual products.  As such, targets that focus exclusively on gross trade may not achieve their intended goals.  For example through integration into global value chains that require significant foreign content,  countries may achieve significant growth in  gross exports but if this displaces activities that have higher domestic value-added content, the result may be that the benefits from trade (the contribution to GDP and income) decline, despite the significant increase in gross exports.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Sources and data collection</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A prerequisite for compilation is the availability of an input-output table for each country.  In many developing countries such tables do not exist, partly reflecting the conventional focus on tables with a considerable level of industry detail available.  Whilst a greater level of detail in the industry (or product) classification used is desirable robust estimates of the domestic value-added content can be achieved at a relatively aggregated  level  for the purposes of the calculation above (see below)</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Exports should include exports of both goods and services. In many developing economies information on exports of services is scarce however so too is the importance of these services, at present.  Mirror statistics should be used in cases where countries lack sufficient data.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Disaggregation</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The minimum breakdown of activities or products required is as follows: </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 xml:space="preserve">Agriculture, hunting and forestry, fishing  (ISIC Rev 3.1 equivalent section codes A, B) </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Mining and quarrying (ISIC Rev 3.1 equivalent section code C)</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lastRenderedPageBreak/>
        <w:t>Manufacturing (ISIC Rev 3.1 equivalent section code D)</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Electricity, gas and water supply (ISIC Rev 3.1 equivalent section code E)</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Construction  (ISIC Rev 3.1 equivalent section code F)</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Wholesale and retail trade; repair of motor vehicles, motorcycles and personal and household goods (ISIC Rev 3.1 equivalent section code G)</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Hotels and restaurants (ISIC Rev 3.1 equivalent section code H)</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Transport, storage and communications  (ISIC Rev 3.1 equivalent section code I)</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 xml:space="preserve">Other Business Services:  Financial intermediation,  Real estate, renting and business activities (ISIC Rev 3.1 equivalent section codes J, K) </w:t>
      </w:r>
    </w:p>
    <w:p w:rsidR="002161DD" w:rsidRPr="002161DD" w:rsidRDefault="002161DD" w:rsidP="002161DD">
      <w:pPr>
        <w:tabs>
          <w:tab w:val="num" w:pos="850"/>
        </w:tabs>
        <w:spacing w:after="240" w:line="240" w:lineRule="auto"/>
        <w:ind w:left="850" w:hanging="408"/>
        <w:jc w:val="both"/>
        <w:rPr>
          <w:rFonts w:ascii="Times New Roman" w:eastAsia="Times New Roman" w:hAnsi="Times New Roman" w:cs="Times New Roman"/>
          <w:sz w:val="22"/>
          <w:lang w:val="en-GB" w:eastAsia="en-GB"/>
        </w:rPr>
      </w:pPr>
      <w:r w:rsidRPr="002161DD">
        <w:rPr>
          <w:rFonts w:ascii="Times New Roman" w:eastAsia="Times New Roman" w:hAnsi="Times New Roman" w:cs="Times New Roman"/>
          <w:sz w:val="22"/>
          <w:lang w:val="en-GB" w:eastAsia="en-GB"/>
        </w:rPr>
        <w:t xml:space="preserve">Other Services: Public administration and defence; compulsory social security, Education, Health and social work,  Other community, social and personal service activities,  Activities of private households as employers and undifferentiated production activities of private households,  Extraterritorial organizations and bodies (ISIC Rev 3.1 equivalent section codes H-Q)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 xml:space="preserve"> Comments and limitations</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Even with the limited breakdown of activities/products,  there is a possibility that some countries may not be able to generate an input-output table.  In these circumstances estimates should be derived using the input-output table for a similar economy (similar GDP per capita, same region, similar export profile).  For many industries/products in developing economies, in particular primary goods such as commodities and raw agricultural products, the domestic value-added content is often close to 100%.  </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For simplicity the approach described above only requires a national input-output table.  The OECD has developed a global input-output table with a higher degree of industry breakdown than described above. Within such a tables it is possible to identify (and remove) any double-counting of domestic value added that returns in imports.  This however is insignificant.</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Gender equality issues</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The measure on its own does not have a gender dimension. Nevertheless by decomposing replacing the value-added vector above with an equivalent vector for employment,  the same approach can  be used to provide estimates of the relative and absolute size of male/female jobs dependent on/sustained by exports.</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t xml:space="preserve"> Data for global and regional monitoring</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sz w:val="22"/>
          <w:lang w:val="en-GB" w:eastAsia="zh-CN"/>
        </w:rPr>
      </w:pPr>
      <w:r w:rsidRPr="002161DD">
        <w:rPr>
          <w:rFonts w:ascii="Times New Roman" w:eastAsia="Times New Roman" w:hAnsi="Times New Roman" w:cs="Times New Roman"/>
          <w:sz w:val="22"/>
          <w:lang w:val="en-GB" w:eastAsia="zh-CN"/>
        </w:rPr>
        <w:t xml:space="preserve">The OECD-WTO TiVA initiative already contains data for 61 economies, with plans to expand it over time to have comprehensive global coverage.   An SDG target indicator this process should increase the momentum. </w:t>
      </w:r>
    </w:p>
    <w:p w:rsidR="002161DD" w:rsidRPr="002161DD" w:rsidRDefault="002161DD" w:rsidP="002161DD">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sz w:val="22"/>
          <w:lang w:val="en-GB" w:eastAsia="zh-CN"/>
        </w:rPr>
      </w:pPr>
      <w:r w:rsidRPr="002161DD">
        <w:rPr>
          <w:rFonts w:ascii="Times New Roman" w:eastAsia="Times New Roman" w:hAnsi="Times New Roman" w:cs="Times New Roman"/>
          <w:b/>
          <w:bCs/>
          <w:i/>
          <w:iCs/>
          <w:sz w:val="22"/>
          <w:lang w:val="en-GB" w:eastAsia="zh-CN"/>
        </w:rPr>
        <w:lastRenderedPageBreak/>
        <w:t xml:space="preserve"> References</w:t>
      </w:r>
    </w:p>
    <w:p w:rsidR="002161DD" w:rsidRPr="002161DD" w:rsidRDefault="002161DD" w:rsidP="002161DD">
      <w:pPr>
        <w:tabs>
          <w:tab w:val="left" w:pos="850"/>
          <w:tab w:val="left" w:pos="1191"/>
          <w:tab w:val="left" w:pos="1531"/>
        </w:tabs>
        <w:spacing w:after="240" w:line="240" w:lineRule="auto"/>
        <w:ind w:firstLine="442"/>
        <w:jc w:val="both"/>
        <w:rPr>
          <w:rFonts w:ascii="Times New Roman" w:eastAsia="Times New Roman" w:hAnsi="Times New Roman" w:cs="Times New Roman"/>
          <w:color w:val="1F497D"/>
          <w:sz w:val="22"/>
          <w:lang w:val="en-GB" w:eastAsia="zh-CN"/>
        </w:rPr>
      </w:pPr>
      <w:r w:rsidRPr="002161DD">
        <w:rPr>
          <w:rFonts w:ascii="Times New Roman" w:eastAsia="Times New Roman" w:hAnsi="Times New Roman" w:cs="Times New Roman"/>
          <w:color w:val="1F497D"/>
          <w:sz w:val="22"/>
          <w:lang w:val="en-GB" w:eastAsia="zh-CN"/>
        </w:rPr>
        <w:t xml:space="preserve">See </w:t>
      </w:r>
      <w:hyperlink r:id="rId16" w:history="1">
        <w:r w:rsidRPr="002161DD">
          <w:rPr>
            <w:rFonts w:ascii="Times New Roman" w:eastAsia="Times New Roman" w:hAnsi="Times New Roman" w:cs="Times New Roman"/>
            <w:color w:val="0000FF"/>
            <w:sz w:val="22"/>
            <w:u w:val="single"/>
            <w:lang w:val="en-GB" w:eastAsia="zh-CN"/>
          </w:rPr>
          <w:t>www.oecd.org/trade/valueadded</w:t>
        </w:r>
      </w:hyperlink>
    </w:p>
    <w:p w:rsidR="00AD1F6C" w:rsidRPr="00C362DA" w:rsidRDefault="00AD1F6C" w:rsidP="00C4116E">
      <w:pPr>
        <w:spacing w:after="240" w:line="240" w:lineRule="auto"/>
        <w:jc w:val="both"/>
        <w:rPr>
          <w:rFonts w:ascii="Times New Roman" w:hAnsi="Times New Roman" w:cs="Times New Roman"/>
          <w:sz w:val="22"/>
          <w:lang w:val="en-GB"/>
        </w:rPr>
      </w:pPr>
      <w:bookmarkStart w:id="0" w:name="_GoBack"/>
      <w:bookmarkEnd w:id="0"/>
    </w:p>
    <w:sectPr w:rsidR="00AD1F6C" w:rsidRPr="00C362DA" w:rsidSect="000822A1">
      <w:headerReference w:type="even" r:id="rId17"/>
      <w:footerReference w:type="even" r:id="rId18"/>
      <w:footerReference w:type="default" r:id="rId19"/>
      <w:endnotePr>
        <w:numFmt w:val="decimal"/>
      </w:endnotePr>
      <w:pgSz w:w="11906" w:h="16838"/>
      <w:pgMar w:top="1956" w:right="1247" w:bottom="1985" w:left="1587" w:header="567" w:footer="141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C59" w:rsidRDefault="00951C59">
      <w:r>
        <w:separator/>
      </w:r>
    </w:p>
  </w:endnote>
  <w:endnote w:type="continuationSeparator" w:id="0">
    <w:p w:rsidR="00951C59" w:rsidRDefault="0095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C0F" w:rsidRDefault="00BE5C0F" w:rsidP="00291D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2D50">
      <w:rPr>
        <w:rStyle w:val="PageNumber"/>
        <w:noProof/>
      </w:rPr>
      <w:t>1</w:t>
    </w:r>
    <w:r>
      <w:rPr>
        <w:rStyle w:val="PageNumber"/>
      </w:rPr>
      <w:fldChar w:fldCharType="end"/>
    </w:r>
  </w:p>
  <w:p w:rsidR="00BE5C0F" w:rsidRDefault="00BE5C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C0F" w:rsidRDefault="00BE5C0F" w:rsidP="00CB62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61DD">
      <w:rPr>
        <w:rStyle w:val="PageNumber"/>
        <w:noProof/>
      </w:rPr>
      <w:t>5</w:t>
    </w:r>
    <w:r>
      <w:rPr>
        <w:rStyle w:val="PageNumber"/>
      </w:rPr>
      <w:fldChar w:fldCharType="end"/>
    </w:r>
  </w:p>
  <w:p w:rsidR="00BE5C0F" w:rsidRPr="00291D6C" w:rsidRDefault="00BE5C0F" w:rsidP="00291D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C59" w:rsidRDefault="00951C59">
      <w:r>
        <w:separator/>
      </w:r>
    </w:p>
  </w:footnote>
  <w:footnote w:type="continuationSeparator" w:id="0">
    <w:p w:rsidR="00951C59" w:rsidRDefault="00951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C0F" w:rsidRDefault="00BE5C0F">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8323664"/>
    <w:lvl w:ilvl="0">
      <w:start w:val="1"/>
      <w:numFmt w:val="bullet"/>
      <w:lvlText w:val=""/>
      <w:lvlJc w:val="left"/>
      <w:pPr>
        <w:tabs>
          <w:tab w:val="num" w:pos="360"/>
        </w:tabs>
        <w:ind w:left="360" w:hanging="360"/>
      </w:pPr>
      <w:rPr>
        <w:rFonts w:ascii="Symbol" w:hAnsi="Symbol" w:hint="default"/>
      </w:rPr>
    </w:lvl>
  </w:abstractNum>
  <w:abstractNum w:abstractNumId="1">
    <w:nsid w:val="07F90F62"/>
    <w:multiLevelType w:val="singleLevel"/>
    <w:tmpl w:val="0809000B"/>
    <w:name w:val="templateBullet1"/>
    <w:lvl w:ilvl="0">
      <w:start w:val="1"/>
      <w:numFmt w:val="bullet"/>
      <w:lvlText w:val=""/>
      <w:lvlJc w:val="left"/>
      <w:pPr>
        <w:ind w:left="720" w:hanging="360"/>
      </w:pPr>
      <w:rPr>
        <w:rFonts w:ascii="Wingdings" w:hAnsi="Wingdings"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A0181C"/>
    <w:multiLevelType w:val="hybridMultilevel"/>
    <w:tmpl w:val="449469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5">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6">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7">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8">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9">
    <w:nsid w:val="29F848EA"/>
    <w:multiLevelType w:val="hybridMultilevel"/>
    <w:tmpl w:val="17BE22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1">
    <w:nsid w:val="2ED84FB7"/>
    <w:multiLevelType w:val="hybridMultilevel"/>
    <w:tmpl w:val="C850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3">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5">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6">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7">
    <w:nsid w:val="51545A40"/>
    <w:multiLevelType w:val="hybridMultilevel"/>
    <w:tmpl w:val="197641CE"/>
    <w:lvl w:ilvl="0" w:tplc="08090001">
      <w:start w:val="1"/>
      <w:numFmt w:val="bullet"/>
      <w:lvlText w:val=""/>
      <w:lvlJc w:val="left"/>
      <w:pPr>
        <w:ind w:left="992" w:hanging="360"/>
      </w:pPr>
      <w:rPr>
        <w:rFonts w:ascii="Symbol" w:hAnsi="Symbol" w:hint="default"/>
      </w:rPr>
    </w:lvl>
    <w:lvl w:ilvl="1" w:tplc="08090003" w:tentative="1">
      <w:start w:val="1"/>
      <w:numFmt w:val="bullet"/>
      <w:lvlText w:val="o"/>
      <w:lvlJc w:val="left"/>
      <w:pPr>
        <w:ind w:left="1712" w:hanging="360"/>
      </w:pPr>
      <w:rPr>
        <w:rFonts w:ascii="Courier New" w:hAnsi="Courier New" w:cs="Courier New" w:hint="default"/>
      </w:rPr>
    </w:lvl>
    <w:lvl w:ilvl="2" w:tplc="08090005" w:tentative="1">
      <w:start w:val="1"/>
      <w:numFmt w:val="bullet"/>
      <w:lvlText w:val=""/>
      <w:lvlJc w:val="left"/>
      <w:pPr>
        <w:ind w:left="2432" w:hanging="360"/>
      </w:pPr>
      <w:rPr>
        <w:rFonts w:ascii="Wingdings" w:hAnsi="Wingdings" w:hint="default"/>
      </w:rPr>
    </w:lvl>
    <w:lvl w:ilvl="3" w:tplc="08090001" w:tentative="1">
      <w:start w:val="1"/>
      <w:numFmt w:val="bullet"/>
      <w:lvlText w:val=""/>
      <w:lvlJc w:val="left"/>
      <w:pPr>
        <w:ind w:left="3152" w:hanging="360"/>
      </w:pPr>
      <w:rPr>
        <w:rFonts w:ascii="Symbol" w:hAnsi="Symbol" w:hint="default"/>
      </w:rPr>
    </w:lvl>
    <w:lvl w:ilvl="4" w:tplc="08090003" w:tentative="1">
      <w:start w:val="1"/>
      <w:numFmt w:val="bullet"/>
      <w:lvlText w:val="o"/>
      <w:lvlJc w:val="left"/>
      <w:pPr>
        <w:ind w:left="3872" w:hanging="360"/>
      </w:pPr>
      <w:rPr>
        <w:rFonts w:ascii="Courier New" w:hAnsi="Courier New" w:cs="Courier New" w:hint="default"/>
      </w:rPr>
    </w:lvl>
    <w:lvl w:ilvl="5" w:tplc="08090005" w:tentative="1">
      <w:start w:val="1"/>
      <w:numFmt w:val="bullet"/>
      <w:lvlText w:val=""/>
      <w:lvlJc w:val="left"/>
      <w:pPr>
        <w:ind w:left="4592" w:hanging="360"/>
      </w:pPr>
      <w:rPr>
        <w:rFonts w:ascii="Wingdings" w:hAnsi="Wingdings" w:hint="default"/>
      </w:rPr>
    </w:lvl>
    <w:lvl w:ilvl="6" w:tplc="08090001" w:tentative="1">
      <w:start w:val="1"/>
      <w:numFmt w:val="bullet"/>
      <w:lvlText w:val=""/>
      <w:lvlJc w:val="left"/>
      <w:pPr>
        <w:ind w:left="5312" w:hanging="360"/>
      </w:pPr>
      <w:rPr>
        <w:rFonts w:ascii="Symbol" w:hAnsi="Symbol" w:hint="default"/>
      </w:rPr>
    </w:lvl>
    <w:lvl w:ilvl="7" w:tplc="08090003" w:tentative="1">
      <w:start w:val="1"/>
      <w:numFmt w:val="bullet"/>
      <w:lvlText w:val="o"/>
      <w:lvlJc w:val="left"/>
      <w:pPr>
        <w:ind w:left="6032" w:hanging="360"/>
      </w:pPr>
      <w:rPr>
        <w:rFonts w:ascii="Courier New" w:hAnsi="Courier New" w:cs="Courier New" w:hint="default"/>
      </w:rPr>
    </w:lvl>
    <w:lvl w:ilvl="8" w:tplc="08090005" w:tentative="1">
      <w:start w:val="1"/>
      <w:numFmt w:val="bullet"/>
      <w:lvlText w:val=""/>
      <w:lvlJc w:val="left"/>
      <w:pPr>
        <w:ind w:left="6752" w:hanging="360"/>
      </w:pPr>
      <w:rPr>
        <w:rFonts w:ascii="Wingdings" w:hAnsi="Wingdings" w:hint="default"/>
      </w:rPr>
    </w:lvl>
  </w:abstractNum>
  <w:abstractNum w:abstractNumId="18">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9">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0">
    <w:nsid w:val="6103732C"/>
    <w:multiLevelType w:val="hybridMultilevel"/>
    <w:tmpl w:val="652A712A"/>
    <w:name w:val="templateBullet1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15706A4"/>
    <w:multiLevelType w:val="hybridMultilevel"/>
    <w:tmpl w:val="D8FCB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23">
    <w:nsid w:val="64450452"/>
    <w:multiLevelType w:val="hybridMultilevel"/>
    <w:tmpl w:val="DEB6936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676E4548"/>
    <w:multiLevelType w:val="hybridMultilevel"/>
    <w:tmpl w:val="43F8FC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EA865CA"/>
    <w:multiLevelType w:val="hybridMultilevel"/>
    <w:tmpl w:val="8722A564"/>
    <w:lvl w:ilvl="0" w:tplc="0005040C">
      <w:start w:val="1"/>
      <w:numFmt w:val="bullet"/>
      <w:lvlText w:val=""/>
      <w:lvlJc w:val="left"/>
      <w:pPr>
        <w:tabs>
          <w:tab w:val="num" w:pos="720"/>
        </w:tabs>
        <w:ind w:left="720" w:hanging="360"/>
      </w:pPr>
      <w:rPr>
        <w:rFonts w:ascii="Wingdings" w:hAnsi="Wingdings"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26">
    <w:nsid w:val="7F4F4B8E"/>
    <w:multiLevelType w:val="hybridMultilevel"/>
    <w:tmpl w:val="A6BE6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14"/>
  </w:num>
  <w:num w:numId="5">
    <w:abstractNumId w:val="1"/>
  </w:num>
  <w:num w:numId="6">
    <w:abstractNumId w:val="10"/>
  </w:num>
  <w:num w:numId="7">
    <w:abstractNumId w:val="15"/>
  </w:num>
  <w:num w:numId="8">
    <w:abstractNumId w:val="18"/>
  </w:num>
  <w:num w:numId="9">
    <w:abstractNumId w:val="19"/>
  </w:num>
  <w:num w:numId="10">
    <w:abstractNumId w:val="13"/>
  </w:num>
  <w:num w:numId="11">
    <w:abstractNumId w:val="22"/>
  </w:num>
  <w:num w:numId="12">
    <w:abstractNumId w:val="16"/>
  </w:num>
  <w:num w:numId="13">
    <w:abstractNumId w:val="2"/>
  </w:num>
  <w:num w:numId="14">
    <w:abstractNumId w:val="12"/>
  </w:num>
  <w:num w:numId="15">
    <w:abstractNumId w:val="7"/>
  </w:num>
  <w:num w:numId="16">
    <w:abstractNumId w:val="8"/>
  </w:num>
  <w:num w:numId="17">
    <w:abstractNumId w:val="3"/>
  </w:num>
  <w:num w:numId="18">
    <w:abstractNumId w:val="20"/>
  </w:num>
  <w:num w:numId="19">
    <w:abstractNumId w:val="24"/>
  </w:num>
  <w:num w:numId="20">
    <w:abstractNumId w:val="26"/>
  </w:num>
  <w:num w:numId="21">
    <w:abstractNumId w:val="25"/>
  </w:num>
  <w:num w:numId="22">
    <w:abstractNumId w:val="9"/>
  </w:num>
  <w:num w:numId="23">
    <w:abstractNumId w:val="17"/>
  </w:num>
  <w:num w:numId="24">
    <w:abstractNumId w:val="11"/>
  </w:num>
  <w:num w:numId="25">
    <w:abstractNumId w:val="21"/>
  </w:num>
  <w:num w:numId="26">
    <w:abstractNumId w:val="0"/>
  </w:num>
  <w:num w:numId="2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o:colormru v:ext="edit" colors="#4f81bd"/>
    </o:shapedefaults>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For Official Use"/>
    <w:docVar w:name="DocumentStyle" w:val="General Narrative"/>
    <w:docVar w:name="IsPublication" w:val="1"/>
    <w:docVar w:name="Language" w:val="English"/>
    <w:docVar w:name="PaperSize" w:val="typeset"/>
    <w:docVar w:name="PGLANDSCAPE" w:val="0"/>
    <w:docVar w:name="PublicationType" w:val="typeset"/>
  </w:docVars>
  <w:rsids>
    <w:rsidRoot w:val="00291D6C"/>
    <w:rsid w:val="000230B9"/>
    <w:rsid w:val="00025373"/>
    <w:rsid w:val="000400FA"/>
    <w:rsid w:val="000510F8"/>
    <w:rsid w:val="000822A1"/>
    <w:rsid w:val="00094908"/>
    <w:rsid w:val="000D4315"/>
    <w:rsid w:val="000D7551"/>
    <w:rsid w:val="000E0616"/>
    <w:rsid w:val="000E6E96"/>
    <w:rsid w:val="001003CC"/>
    <w:rsid w:val="00123EE9"/>
    <w:rsid w:val="001A021B"/>
    <w:rsid w:val="001D7272"/>
    <w:rsid w:val="001E7333"/>
    <w:rsid w:val="001F1E36"/>
    <w:rsid w:val="0020711A"/>
    <w:rsid w:val="002161DD"/>
    <w:rsid w:val="002346F8"/>
    <w:rsid w:val="002532F1"/>
    <w:rsid w:val="002564DD"/>
    <w:rsid w:val="002569AB"/>
    <w:rsid w:val="00291D6C"/>
    <w:rsid w:val="00297482"/>
    <w:rsid w:val="002A38D1"/>
    <w:rsid w:val="002A657A"/>
    <w:rsid w:val="002D1613"/>
    <w:rsid w:val="002F734E"/>
    <w:rsid w:val="003209BA"/>
    <w:rsid w:val="003375AC"/>
    <w:rsid w:val="003437E1"/>
    <w:rsid w:val="00346765"/>
    <w:rsid w:val="003A7C98"/>
    <w:rsid w:val="003B0D34"/>
    <w:rsid w:val="003C28DC"/>
    <w:rsid w:val="003D0CAE"/>
    <w:rsid w:val="003D7261"/>
    <w:rsid w:val="003E0862"/>
    <w:rsid w:val="003F2316"/>
    <w:rsid w:val="003F5E65"/>
    <w:rsid w:val="003F67FA"/>
    <w:rsid w:val="004128BA"/>
    <w:rsid w:val="00434302"/>
    <w:rsid w:val="00437BD9"/>
    <w:rsid w:val="00441003"/>
    <w:rsid w:val="00467641"/>
    <w:rsid w:val="00476C8E"/>
    <w:rsid w:val="004A0359"/>
    <w:rsid w:val="004C1D74"/>
    <w:rsid w:val="004C3F5C"/>
    <w:rsid w:val="004C772B"/>
    <w:rsid w:val="004F4A90"/>
    <w:rsid w:val="004F6B5B"/>
    <w:rsid w:val="0050161C"/>
    <w:rsid w:val="00546567"/>
    <w:rsid w:val="00556897"/>
    <w:rsid w:val="00583A06"/>
    <w:rsid w:val="005876A5"/>
    <w:rsid w:val="005934F3"/>
    <w:rsid w:val="005A35BC"/>
    <w:rsid w:val="005A3A82"/>
    <w:rsid w:val="006014EA"/>
    <w:rsid w:val="0061127B"/>
    <w:rsid w:val="006473E7"/>
    <w:rsid w:val="006865E4"/>
    <w:rsid w:val="00692592"/>
    <w:rsid w:val="006932C5"/>
    <w:rsid w:val="00694CA9"/>
    <w:rsid w:val="006A115A"/>
    <w:rsid w:val="006D2D50"/>
    <w:rsid w:val="006D4FFE"/>
    <w:rsid w:val="006D6A26"/>
    <w:rsid w:val="006E5566"/>
    <w:rsid w:val="007008E9"/>
    <w:rsid w:val="0070309C"/>
    <w:rsid w:val="007553A4"/>
    <w:rsid w:val="00770DB8"/>
    <w:rsid w:val="007C3D07"/>
    <w:rsid w:val="007C66EB"/>
    <w:rsid w:val="007F2135"/>
    <w:rsid w:val="007F24A2"/>
    <w:rsid w:val="007F63F1"/>
    <w:rsid w:val="00802CA9"/>
    <w:rsid w:val="00896273"/>
    <w:rsid w:val="008B7637"/>
    <w:rsid w:val="008F5134"/>
    <w:rsid w:val="00901730"/>
    <w:rsid w:val="00931C9F"/>
    <w:rsid w:val="00951C59"/>
    <w:rsid w:val="00983C6E"/>
    <w:rsid w:val="009938ED"/>
    <w:rsid w:val="009A6589"/>
    <w:rsid w:val="009F00B6"/>
    <w:rsid w:val="00A1053E"/>
    <w:rsid w:val="00A4713E"/>
    <w:rsid w:val="00A72ED5"/>
    <w:rsid w:val="00AB6064"/>
    <w:rsid w:val="00AD1F6C"/>
    <w:rsid w:val="00AE230F"/>
    <w:rsid w:val="00B16C74"/>
    <w:rsid w:val="00B17CEA"/>
    <w:rsid w:val="00B22D69"/>
    <w:rsid w:val="00B31AB2"/>
    <w:rsid w:val="00B357A8"/>
    <w:rsid w:val="00B36799"/>
    <w:rsid w:val="00B36DBC"/>
    <w:rsid w:val="00B458F8"/>
    <w:rsid w:val="00B53DF1"/>
    <w:rsid w:val="00B60CCD"/>
    <w:rsid w:val="00B61EA9"/>
    <w:rsid w:val="00B81EBA"/>
    <w:rsid w:val="00B92DDA"/>
    <w:rsid w:val="00BE5C0F"/>
    <w:rsid w:val="00BF0AFE"/>
    <w:rsid w:val="00C01972"/>
    <w:rsid w:val="00C350DC"/>
    <w:rsid w:val="00C362DA"/>
    <w:rsid w:val="00C4116E"/>
    <w:rsid w:val="00C50D2B"/>
    <w:rsid w:val="00C50F4E"/>
    <w:rsid w:val="00C52F5C"/>
    <w:rsid w:val="00C5457A"/>
    <w:rsid w:val="00C61A2A"/>
    <w:rsid w:val="00C74C9C"/>
    <w:rsid w:val="00C94CCC"/>
    <w:rsid w:val="00CA6DFE"/>
    <w:rsid w:val="00CB62AA"/>
    <w:rsid w:val="00CB6FA7"/>
    <w:rsid w:val="00CE6E3E"/>
    <w:rsid w:val="00D00D2A"/>
    <w:rsid w:val="00D23D78"/>
    <w:rsid w:val="00D2470D"/>
    <w:rsid w:val="00D46DA2"/>
    <w:rsid w:val="00D969BD"/>
    <w:rsid w:val="00DB3E6A"/>
    <w:rsid w:val="00DB3F12"/>
    <w:rsid w:val="00DB77D9"/>
    <w:rsid w:val="00E30702"/>
    <w:rsid w:val="00E31771"/>
    <w:rsid w:val="00E35708"/>
    <w:rsid w:val="00E61EB0"/>
    <w:rsid w:val="00E832B6"/>
    <w:rsid w:val="00E86857"/>
    <w:rsid w:val="00EB3485"/>
    <w:rsid w:val="00EB381A"/>
    <w:rsid w:val="00EC0D31"/>
    <w:rsid w:val="00EE0A6E"/>
    <w:rsid w:val="00EF7F96"/>
    <w:rsid w:val="00F07C06"/>
    <w:rsid w:val="00F36F34"/>
    <w:rsid w:val="00F44B25"/>
    <w:rsid w:val="00F54B47"/>
    <w:rsid w:val="00FB1668"/>
    <w:rsid w:val="00FD7884"/>
    <w:rsid w:val="00FE2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f81b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400FA"/>
    <w:pPr>
      <w:spacing w:after="180" w:line="274" w:lineRule="auto"/>
    </w:pPr>
    <w:rPr>
      <w:sz w:val="21"/>
    </w:rPr>
  </w:style>
  <w:style w:type="paragraph" w:styleId="Heading1">
    <w:name w:val="heading 1"/>
    <w:basedOn w:val="Normal"/>
    <w:next w:val="Normal"/>
    <w:link w:val="Heading1Char"/>
    <w:autoRedefine/>
    <w:uiPriority w:val="9"/>
    <w:qFormat/>
    <w:rsid w:val="006865E4"/>
    <w:pPr>
      <w:keepNext/>
      <w:keepLines/>
      <w:pBdr>
        <w:bottom w:val="single" w:sz="4" w:space="1" w:color="244061" w:themeColor="accent1" w:themeShade="80"/>
      </w:pBdr>
      <w:spacing w:before="480" w:after="100" w:afterAutospacing="1" w:line="240" w:lineRule="auto"/>
      <w:outlineLvl w:val="0"/>
    </w:pPr>
    <w:rPr>
      <w:rFonts w:ascii="Arial" w:eastAsiaTheme="majorEastAsia" w:hAnsi="Arial" w:cstheme="majorBidi"/>
      <w:bCs/>
      <w:caps/>
      <w:color w:val="4F81BD"/>
      <w:sz w:val="32"/>
      <w:szCs w:val="28"/>
    </w:rPr>
  </w:style>
  <w:style w:type="paragraph" w:styleId="Heading2">
    <w:name w:val="heading 2"/>
    <w:basedOn w:val="Normal"/>
    <w:next w:val="Normal"/>
    <w:link w:val="Heading2Char"/>
    <w:uiPriority w:val="9"/>
    <w:unhideWhenUsed/>
    <w:qFormat/>
    <w:rsid w:val="00D46DA2"/>
    <w:pPr>
      <w:keepNext/>
      <w:keepLines/>
      <w:spacing w:before="480" w:after="120" w:line="240" w:lineRule="auto"/>
      <w:outlineLvl w:val="1"/>
    </w:pPr>
    <w:rPr>
      <w:rFonts w:ascii="Arial" w:eastAsiaTheme="majorEastAsia" w:hAnsi="Arial" w:cstheme="majorBidi"/>
      <w:b/>
      <w:bCs/>
      <w:smallCaps/>
      <w:color w:val="4F81BD"/>
      <w:sz w:val="22"/>
      <w:szCs w:val="26"/>
    </w:rPr>
  </w:style>
  <w:style w:type="paragraph" w:styleId="Heading3">
    <w:name w:val="heading 3"/>
    <w:basedOn w:val="Normal"/>
    <w:next w:val="Normal"/>
    <w:link w:val="Heading3Char"/>
    <w:uiPriority w:val="9"/>
    <w:unhideWhenUsed/>
    <w:qFormat/>
    <w:rsid w:val="000230B9"/>
    <w:pPr>
      <w:keepNext/>
      <w:keepLines/>
      <w:spacing w:before="20" w:after="0" w:line="240" w:lineRule="auto"/>
      <w:outlineLvl w:val="2"/>
    </w:pPr>
    <w:rPr>
      <w:rFonts w:asciiTheme="majorHAnsi" w:eastAsiaTheme="majorEastAsia" w:hAnsiTheme="majorHAnsi" w:cstheme="majorBidi"/>
      <w:bCs/>
      <w:color w:val="000000" w:themeColor="text2"/>
      <w:spacing w:val="14"/>
      <w:sz w:val="24"/>
    </w:rPr>
  </w:style>
  <w:style w:type="paragraph" w:styleId="Heading4">
    <w:name w:val="heading 4"/>
    <w:basedOn w:val="Normal"/>
    <w:next w:val="Normal"/>
    <w:link w:val="Heading4Char"/>
    <w:uiPriority w:val="9"/>
    <w:unhideWhenUsed/>
    <w:qFormat/>
    <w:rsid w:val="000230B9"/>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0230B9"/>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unhideWhenUsed/>
    <w:qFormat/>
    <w:rsid w:val="000230B9"/>
    <w:pPr>
      <w:keepNext/>
      <w:keepLines/>
      <w:spacing w:before="200" w:after="0"/>
      <w:outlineLvl w:val="5"/>
    </w:pPr>
    <w:rPr>
      <w:rFonts w:asciiTheme="majorHAnsi" w:eastAsiaTheme="majorEastAsia" w:hAnsiTheme="majorHAnsi" w:cstheme="majorBidi"/>
      <w:iCs/>
      <w:color w:val="4F81BD" w:themeColor="accent1"/>
      <w:sz w:val="22"/>
    </w:rPr>
  </w:style>
  <w:style w:type="paragraph" w:styleId="Heading7">
    <w:name w:val="heading 7"/>
    <w:basedOn w:val="Normal"/>
    <w:next w:val="Normal"/>
    <w:link w:val="Heading7Char"/>
    <w:uiPriority w:val="9"/>
    <w:unhideWhenUsed/>
    <w:qFormat/>
    <w:rsid w:val="000230B9"/>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unhideWhenUsed/>
    <w:qFormat/>
    <w:rsid w:val="000230B9"/>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unhideWhenUsed/>
    <w:qFormat/>
    <w:rsid w:val="000230B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rPr>
      <w:rFonts w:ascii="Arial" w:hAnsi="Arial" w:cs="Arial"/>
      <w:sz w:val="18"/>
      <w:szCs w:val="18"/>
    </w:rPr>
  </w:style>
  <w:style w:type="paragraph" w:customStyle="1" w:styleId="ColumnsHeading">
    <w:name w:val="Columns Heading"/>
    <w:basedOn w:val="Normal"/>
    <w:pPr>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spacing w:after="240"/>
    </w:pPr>
  </w:style>
  <w:style w:type="paragraph" w:styleId="ListBullet2">
    <w:name w:val="List Bullet 2"/>
    <w:basedOn w:val="Normal"/>
    <w:pPr>
      <w:numPr>
        <w:numId w:val="6"/>
      </w:numPr>
      <w:spacing w:after="240"/>
    </w:pPr>
  </w:style>
  <w:style w:type="paragraph" w:styleId="ListBullet3">
    <w:name w:val="List Bullet 3"/>
    <w:basedOn w:val="Normal"/>
    <w:pPr>
      <w:numPr>
        <w:numId w:val="7"/>
      </w:numPr>
      <w:spacing w:after="240"/>
    </w:pPr>
  </w:style>
  <w:style w:type="paragraph" w:styleId="ListBullet4">
    <w:name w:val="List Bullet 4"/>
    <w:basedOn w:val="Normal"/>
    <w:pPr>
      <w:numPr>
        <w:numId w:val="8"/>
      </w:numPr>
      <w:spacing w:after="240"/>
    </w:pPr>
  </w:style>
  <w:style w:type="paragraph" w:styleId="ListBullet5">
    <w:name w:val="List Bullet 5"/>
    <w:basedOn w:val="Normal"/>
    <w:pPr>
      <w:numPr>
        <w:numId w:val="9"/>
      </w:numPr>
      <w:spacing w:after="240"/>
    </w:pPr>
  </w:style>
  <w:style w:type="paragraph" w:styleId="ListContinue">
    <w:name w:val="List Continue"/>
    <w:basedOn w:val="Normal"/>
    <w:pPr>
      <w:spacing w:after="240"/>
      <w:ind w:left="850"/>
    </w:pPr>
  </w:style>
  <w:style w:type="paragraph" w:styleId="ListContinue2">
    <w:name w:val="List Continue 2"/>
    <w:basedOn w:val="Normal"/>
    <w:pPr>
      <w:spacing w:after="240"/>
      <w:ind w:left="1191"/>
    </w:pPr>
  </w:style>
  <w:style w:type="paragraph" w:styleId="ListContinue3">
    <w:name w:val="List Continue 3"/>
    <w:basedOn w:val="Normal"/>
    <w:pPr>
      <w:spacing w:after="240"/>
      <w:ind w:left="1474"/>
    </w:pPr>
  </w:style>
  <w:style w:type="paragraph" w:styleId="ListContinue4">
    <w:name w:val="List Continue 4"/>
    <w:basedOn w:val="Normal"/>
    <w:pPr>
      <w:spacing w:after="240"/>
      <w:ind w:left="1757"/>
    </w:pPr>
  </w:style>
  <w:style w:type="paragraph" w:styleId="ListContinue5">
    <w:name w:val="List Continue 5"/>
    <w:basedOn w:val="Normal"/>
    <w:pPr>
      <w:spacing w:after="240"/>
      <w:ind w:left="2041"/>
    </w:pPr>
  </w:style>
  <w:style w:type="paragraph" w:styleId="ListNumber">
    <w:name w:val="List Number"/>
    <w:basedOn w:val="Normal"/>
    <w:pPr>
      <w:numPr>
        <w:numId w:val="10"/>
      </w:numPr>
      <w:tabs>
        <w:tab w:val="left" w:pos="1134"/>
      </w:tabs>
      <w:spacing w:after="240"/>
    </w:pPr>
  </w:style>
  <w:style w:type="paragraph" w:styleId="ListNumber2">
    <w:name w:val="List Number 2"/>
    <w:basedOn w:val="Normal"/>
    <w:pPr>
      <w:numPr>
        <w:ilvl w:val="1"/>
        <w:numId w:val="10"/>
      </w:numPr>
      <w:tabs>
        <w:tab w:val="left" w:pos="1417"/>
      </w:tabs>
      <w:spacing w:after="240"/>
    </w:pPr>
  </w:style>
  <w:style w:type="paragraph" w:styleId="ListNumber3">
    <w:name w:val="List Number 3"/>
    <w:basedOn w:val="Normal"/>
    <w:pPr>
      <w:numPr>
        <w:ilvl w:val="2"/>
        <w:numId w:val="10"/>
      </w:numPr>
      <w:tabs>
        <w:tab w:val="left" w:pos="1701"/>
      </w:tabs>
      <w:spacing w:after="240"/>
    </w:pPr>
  </w:style>
  <w:style w:type="paragraph" w:styleId="ListNumber4">
    <w:name w:val="List Number 4"/>
    <w:basedOn w:val="Normal"/>
    <w:pPr>
      <w:numPr>
        <w:ilvl w:val="3"/>
        <w:numId w:val="10"/>
      </w:numPr>
      <w:tabs>
        <w:tab w:val="left" w:pos="1984"/>
      </w:tabs>
      <w:spacing w:after="240"/>
    </w:pPr>
  </w:style>
  <w:style w:type="paragraph" w:styleId="ListNumber5">
    <w:name w:val="List Number 5"/>
    <w:basedOn w:val="Normal"/>
    <w:pPr>
      <w:numPr>
        <w:ilvl w:val="4"/>
        <w:numId w:val="10"/>
      </w:numPr>
      <w:tabs>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pPr>
      <w:tabs>
        <w:tab w:val="right" w:leader="dot" w:pos="8504"/>
      </w:tabs>
      <w:spacing w:before="120" w:after="120"/>
    </w:pPr>
    <w:rPr>
      <w:caps/>
    </w:rPr>
  </w:style>
  <w:style w:type="paragraph" w:styleId="TOC2">
    <w:name w:val="toc 2"/>
    <w:basedOn w:val="Normal"/>
    <w:next w:val="Normal"/>
    <w:uiPriority w:val="39"/>
    <w:pPr>
      <w:tabs>
        <w:tab w:val="right" w:leader="dot" w:pos="8504"/>
      </w:tabs>
      <w:ind w:left="198"/>
    </w:pPr>
  </w:style>
  <w:style w:type="paragraph" w:styleId="TOC3">
    <w:name w:val="toc 3"/>
    <w:basedOn w:val="Normal"/>
    <w:next w:val="Normal"/>
    <w:pPr>
      <w:tabs>
        <w:tab w:val="right" w:leader="dot" w:pos="8504"/>
      </w:tabs>
      <w:ind w:left="397"/>
    </w:pPr>
  </w:style>
  <w:style w:type="paragraph" w:styleId="TOC4">
    <w:name w:val="toc 4"/>
    <w:basedOn w:val="Normal"/>
    <w:next w:val="Normal"/>
    <w:pPr>
      <w:tabs>
        <w:tab w:val="right" w:leader="dot" w:pos="8504"/>
      </w:tabs>
      <w:ind w:left="595"/>
    </w:pPr>
    <w:rPr>
      <w:noProof/>
    </w:rPr>
  </w:style>
  <w:style w:type="paragraph" w:styleId="TOC5">
    <w:name w:val="toc 5"/>
    <w:basedOn w:val="Normal"/>
    <w:next w:val="Normal"/>
    <w:pPr>
      <w:tabs>
        <w:tab w:val="right" w:leader="dot" w:pos="8504"/>
      </w:tabs>
      <w:ind w:left="794"/>
    </w:pPr>
    <w:rPr>
      <w:noProof/>
    </w:rPr>
  </w:style>
  <w:style w:type="paragraph" w:customStyle="1" w:styleId="IndexHeading1">
    <w:name w:val="Index Heading1"/>
    <w:basedOn w:val="Normal"/>
    <w:next w:val="BodyText"/>
    <w:pPr>
      <w:keepNext/>
      <w:spacing w:before="1200" w:after="720"/>
      <w:jc w:val="center"/>
    </w:pPr>
    <w:rPr>
      <w:b/>
      <w:caps/>
    </w:rPr>
  </w:style>
  <w:style w:type="paragraph" w:styleId="BlockText">
    <w:name w:val="Block Text"/>
    <w:basedOn w:val="Normal"/>
    <w:pPr>
      <w:spacing w:after="120"/>
      <w:ind w:left="1440" w:right="1440"/>
    </w:pPr>
  </w:style>
  <w:style w:type="paragraph" w:styleId="TOC9">
    <w:name w:val="toc 9"/>
    <w:basedOn w:val="Normal"/>
    <w:next w:val="Normal"/>
    <w:pPr>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style>
  <w:style w:type="paragraph" w:customStyle="1" w:styleId="Author">
    <w:name w:val="Author"/>
    <w:basedOn w:val="BodyText"/>
    <w:pPr>
      <w:ind w:firstLine="0"/>
    </w:pPr>
  </w:style>
  <w:style w:type="paragraph" w:customStyle="1" w:styleId="Chart">
    <w:name w:val="Chart"/>
    <w:basedOn w:val="Normal"/>
    <w:next w:val="BodyText"/>
    <w:pPr>
      <w:spacing w:after="240"/>
      <w:jc w:val="center"/>
    </w:pPr>
  </w:style>
  <w:style w:type="paragraph" w:customStyle="1" w:styleId="ChartSub-title">
    <w:name w:val="Chart Sub-title"/>
    <w:basedOn w:val="Normal"/>
    <w:pPr>
      <w:keepNext/>
      <w:spacing w:after="120"/>
      <w:jc w:val="center"/>
    </w:pPr>
    <w:rPr>
      <w:rFonts w:ascii="Arial" w:hAnsi="Arial" w:cs="Arial"/>
      <w:sz w:val="18"/>
    </w:rPr>
  </w:style>
  <w:style w:type="paragraph" w:customStyle="1" w:styleId="ChartTitle">
    <w:name w:val="Chart Title"/>
    <w:basedOn w:val="Normal"/>
    <w:next w:val="ChartSub-title"/>
    <w:pPr>
      <w:keepNext/>
      <w:spacing w:after="240"/>
      <w:jc w:val="center"/>
    </w:pPr>
    <w:rPr>
      <w:rFonts w:ascii="Arial" w:hAnsi="Arial" w:cs="Arial"/>
      <w:b/>
      <w:sz w:val="18"/>
    </w:rPr>
  </w:style>
  <w:style w:type="paragraph" w:customStyle="1" w:styleId="ChartNote">
    <w:name w:val="Chart Note"/>
    <w:basedOn w:val="Normal"/>
    <w:pPr>
      <w:spacing w:after="120"/>
    </w:pPr>
    <w:rPr>
      <w:rFonts w:ascii="Arial" w:hAnsi="Arial" w:cs="Arial"/>
      <w:sz w:val="16"/>
    </w:rPr>
  </w:style>
  <w:style w:type="paragraph" w:customStyle="1" w:styleId="BoxHeading2">
    <w:name w:val="Box Heading 2"/>
    <w:basedOn w:val="Normal"/>
    <w:next w:val="BoxBodyText"/>
    <w:pPr>
      <w:spacing w:before="240" w:after="240"/>
    </w:pPr>
    <w:rPr>
      <w:rFonts w:ascii="Arial" w:hAnsi="Arial" w:cs="Arial"/>
      <w:b/>
      <w:sz w:val="18"/>
    </w:rPr>
  </w:style>
  <w:style w:type="paragraph" w:customStyle="1" w:styleId="BoxHeading3">
    <w:name w:val="Box Heading 3"/>
    <w:basedOn w:val="Normal"/>
    <w:next w:val="BoxBodyText"/>
    <w:pPr>
      <w:spacing w:before="240" w:after="240"/>
    </w:pPr>
    <w:rPr>
      <w:rFonts w:ascii="Arial" w:hAnsi="Arial" w:cs="Arial"/>
      <w:b/>
      <w:i/>
      <w:sz w:val="18"/>
    </w:rPr>
  </w:style>
  <w:style w:type="paragraph" w:customStyle="1" w:styleId="BoxNote">
    <w:name w:val="Box Note"/>
    <w:basedOn w:val="Normal"/>
    <w:pPr>
      <w:tabs>
        <w:tab w:val="left" w:pos="340"/>
      </w:tabs>
      <w:spacing w:after="120"/>
    </w:pPr>
    <w:rPr>
      <w:rFonts w:ascii="Arial" w:hAnsi="Arial" w:cs="Arial"/>
      <w:sz w:val="18"/>
    </w:rPr>
  </w:style>
  <w:style w:type="paragraph" w:customStyle="1" w:styleId="ListBulletBox">
    <w:name w:val="List Bullet Box"/>
    <w:basedOn w:val="Normal"/>
    <w:pPr>
      <w:numPr>
        <w:numId w:val="11"/>
      </w:numPr>
      <w:spacing w:after="240"/>
    </w:pPr>
    <w:rPr>
      <w:rFonts w:ascii="Arial" w:hAnsi="Arial" w:cs="Arial"/>
      <w:sz w:val="18"/>
    </w:rPr>
  </w:style>
  <w:style w:type="paragraph" w:customStyle="1" w:styleId="ListBulletBox2">
    <w:name w:val="List Bullet Box 2"/>
    <w:basedOn w:val="Normal"/>
    <w:pPr>
      <w:numPr>
        <w:numId w:val="12"/>
      </w:numPr>
      <w:spacing w:after="240"/>
    </w:pPr>
    <w:rPr>
      <w:rFonts w:ascii="Arial" w:hAnsi="Arial" w:cs="Arial"/>
      <w:sz w:val="18"/>
    </w:rPr>
  </w:style>
  <w:style w:type="paragraph" w:customStyle="1" w:styleId="ListBulletBox3">
    <w:name w:val="List Bullet Box 3"/>
    <w:basedOn w:val="Normal"/>
    <w:pPr>
      <w:numPr>
        <w:numId w:val="13"/>
      </w:numPr>
      <w:spacing w:after="240"/>
    </w:pPr>
    <w:rPr>
      <w:rFonts w:ascii="Arial" w:hAnsi="Arial" w:cs="Arial"/>
      <w:sz w:val="18"/>
    </w:rPr>
  </w:style>
  <w:style w:type="paragraph" w:customStyle="1" w:styleId="ListNumberBox">
    <w:name w:val="List Number Box"/>
    <w:basedOn w:val="Normal"/>
    <w:pPr>
      <w:numPr>
        <w:numId w:val="14"/>
      </w:numPr>
      <w:tabs>
        <w:tab w:val="clear" w:pos="1950"/>
      </w:tabs>
      <w:spacing w:after="240"/>
      <w:ind w:left="850"/>
    </w:pPr>
    <w:rPr>
      <w:rFonts w:ascii="Arial" w:hAnsi="Arial" w:cs="Arial"/>
      <w:sz w:val="18"/>
    </w:rPr>
  </w:style>
  <w:style w:type="paragraph" w:customStyle="1" w:styleId="ListNumberBox2">
    <w:name w:val="List Number Box 2"/>
    <w:basedOn w:val="Normal"/>
    <w:pPr>
      <w:numPr>
        <w:ilvl w:val="1"/>
        <w:numId w:val="14"/>
      </w:numPr>
      <w:tabs>
        <w:tab w:val="clear" w:pos="2291"/>
      </w:tabs>
      <w:spacing w:after="240"/>
      <w:ind w:left="1191" w:hanging="340"/>
    </w:pPr>
    <w:rPr>
      <w:rFonts w:ascii="Arial" w:hAnsi="Arial" w:cs="Arial"/>
      <w:sz w:val="18"/>
    </w:rPr>
  </w:style>
  <w:style w:type="paragraph" w:customStyle="1" w:styleId="ListNumberBox3">
    <w:name w:val="List Number Box 3"/>
    <w:basedOn w:val="Normal"/>
    <w:pPr>
      <w:numPr>
        <w:ilvl w:val="2"/>
        <w:numId w:val="14"/>
      </w:numPr>
      <w:tabs>
        <w:tab w:val="clear" w:pos="2574"/>
        <w:tab w:val="left" w:pos="1474"/>
      </w:tabs>
      <w:spacing w:after="240"/>
      <w:ind w:left="1474"/>
    </w:pPr>
    <w:rPr>
      <w:rFonts w:ascii="Arial" w:hAnsi="Arial" w:cs="Arial"/>
      <w:sz w:val="18"/>
    </w:rPr>
  </w:style>
  <w:style w:type="paragraph" w:customStyle="1" w:styleId="ListContinueBox">
    <w:name w:val="List Continue Box"/>
    <w:basedOn w:val="Normal"/>
    <w:pPr>
      <w:spacing w:after="240"/>
      <w:ind w:left="850"/>
    </w:pPr>
    <w:rPr>
      <w:rFonts w:ascii="Arial" w:hAnsi="Arial" w:cs="Arial"/>
      <w:sz w:val="18"/>
    </w:rPr>
  </w:style>
  <w:style w:type="paragraph" w:customStyle="1" w:styleId="ListContinueBox2">
    <w:name w:val="List Continue Box 2"/>
    <w:basedOn w:val="Normal"/>
    <w:pPr>
      <w:spacing w:after="240"/>
      <w:ind w:left="1191"/>
    </w:pPr>
    <w:rPr>
      <w:rFonts w:ascii="Arial" w:hAnsi="Arial" w:cs="Arial"/>
      <w:sz w:val="18"/>
    </w:rPr>
  </w:style>
  <w:style w:type="paragraph" w:customStyle="1" w:styleId="ListContinueBox3">
    <w:name w:val="List Continue Box 3"/>
    <w:basedOn w:val="Normal"/>
    <w:pPr>
      <w:spacing w:after="240"/>
      <w:ind w:left="1474"/>
    </w:pPr>
    <w:rPr>
      <w:rFonts w:ascii="Arial" w:hAnsi="Arial" w:cs="Arial"/>
      <w:sz w:val="18"/>
    </w:rPr>
  </w:style>
  <w:style w:type="paragraph" w:customStyle="1" w:styleId="BoxSource">
    <w:name w:val="Box Source"/>
    <w:basedOn w:val="Normal"/>
    <w:next w:val="BodyText"/>
    <w:pPr>
      <w:spacing w:after="360"/>
    </w:pPr>
    <w:rPr>
      <w:rFonts w:ascii="Arial" w:hAnsi="Arial" w:cs="Arial"/>
      <w:sz w:val="16"/>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Caption">
    <w:name w:val="caption"/>
    <w:basedOn w:val="Normal"/>
    <w:next w:val="Normal"/>
    <w:uiPriority w:val="35"/>
    <w:unhideWhenUsed/>
    <w:qFormat/>
    <w:rsid w:val="000230B9"/>
    <w:pPr>
      <w:spacing w:line="240" w:lineRule="auto"/>
    </w:pPr>
    <w:rPr>
      <w:rFonts w:asciiTheme="majorHAnsi" w:eastAsiaTheme="minorEastAsia" w:hAnsiTheme="majorHAnsi"/>
      <w:bCs/>
      <w:smallCaps/>
      <w:color w:val="000000" w:themeColor="text2"/>
      <w:spacing w:val="6"/>
      <w:sz w:val="22"/>
      <w:szCs w:val="18"/>
      <w:lang w:bidi="hi-IN"/>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next w:val="Normal"/>
    <w:link w:val="SubtitleChar"/>
    <w:uiPriority w:val="11"/>
    <w:qFormat/>
    <w:rsid w:val="000230B9"/>
    <w:pPr>
      <w:numPr>
        <w:ilvl w:val="1"/>
      </w:numPr>
    </w:pPr>
    <w:rPr>
      <w:rFonts w:eastAsiaTheme="majorEastAsia" w:cstheme="majorBidi"/>
      <w:iCs/>
      <w:color w:val="000000" w:themeColor="text2"/>
      <w:sz w:val="40"/>
      <w:szCs w:val="24"/>
      <w:lang w:bidi="hi-IN"/>
    </w:rPr>
  </w:style>
  <w:style w:type="paragraph" w:styleId="TableofFigures">
    <w:name w:val="table of figures"/>
    <w:basedOn w:val="Normal"/>
    <w:next w:val="Normal"/>
    <w:semiHidden/>
    <w:pPr>
      <w:ind w:left="440" w:hanging="440"/>
    </w:pPr>
  </w:style>
  <w:style w:type="paragraph" w:styleId="TableofAuthorities">
    <w:name w:val="table of authorities"/>
    <w:basedOn w:val="Normal"/>
    <w:next w:val="Normal"/>
    <w:semiHidden/>
    <w:pPr>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next w:val="Normal"/>
    <w:link w:val="TitleChar"/>
    <w:uiPriority w:val="10"/>
    <w:qFormat/>
    <w:rsid w:val="00D46DA2"/>
    <w:pPr>
      <w:spacing w:before="720" w:after="840" w:line="360" w:lineRule="auto"/>
      <w:contextualSpacing/>
      <w:jc w:val="center"/>
    </w:pPr>
    <w:rPr>
      <w:rFonts w:ascii="Arial" w:eastAsiaTheme="majorEastAsia" w:hAnsi="Arial" w:cstheme="majorBidi"/>
      <w:color w:val="000000" w:themeColor="text2"/>
      <w:kern w:val="32"/>
      <w:sz w:val="96"/>
      <w:szCs w:val="5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pPr>
      <w:ind w:left="1100"/>
    </w:pPr>
  </w:style>
  <w:style w:type="paragraph" w:styleId="TOC7">
    <w:name w:val="toc 7"/>
    <w:basedOn w:val="Normal"/>
    <w:next w:val="Normal"/>
    <w:pPr>
      <w:ind w:left="1320"/>
    </w:pPr>
  </w:style>
  <w:style w:type="paragraph" w:styleId="TOC8">
    <w:name w:val="toc 8"/>
    <w:basedOn w:val="Normal"/>
    <w:next w:val="Normal"/>
    <w:pPr>
      <w:ind w:left="1540"/>
    </w:pPr>
  </w:style>
  <w:style w:type="paragraph" w:customStyle="1" w:styleId="BoxBodyText">
    <w:name w:val="Box Body Text"/>
    <w:basedOn w:val="Normal"/>
    <w:pPr>
      <w:spacing w:after="240"/>
      <w:ind w:firstLine="442"/>
    </w:pPr>
    <w:rPr>
      <w:rFonts w:ascii="Arial" w:hAnsi="Arial" w:cs="Arial"/>
      <w:sz w:val="18"/>
    </w:rPr>
  </w:style>
  <w:style w:type="paragraph" w:customStyle="1" w:styleId="BoxBodyTextIndent">
    <w:name w:val="Box Body Text Indent"/>
    <w:basedOn w:val="Normal"/>
    <w:pPr>
      <w:spacing w:after="240"/>
      <w:ind w:left="442"/>
    </w:pPr>
    <w:rPr>
      <w:rFonts w:ascii="Arial" w:hAnsi="Arial" w:cs="Arial"/>
      <w:sz w:val="18"/>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rsid w:val="000230B9"/>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0230B9"/>
    <w:rPr>
      <w:rFonts w:asciiTheme="majorHAnsi" w:eastAsiaTheme="minorEastAsia" w:hAnsiTheme="majorHAnsi"/>
      <w:bCs/>
      <w:iCs/>
      <w:color w:val="FFFFFF" w:themeColor="background1"/>
      <w:sz w:val="28"/>
      <w:shd w:val="clear" w:color="auto" w:fill="4F81BD" w:themeFill="accent1"/>
      <w:lang w:bidi="hi-IN"/>
    </w:rPr>
  </w:style>
  <w:style w:type="paragraph" w:styleId="ListParagraph">
    <w:name w:val="List Paragraph"/>
    <w:basedOn w:val="Normal"/>
    <w:uiPriority w:val="34"/>
    <w:qFormat/>
    <w:rsid w:val="000230B9"/>
    <w:pPr>
      <w:spacing w:line="240" w:lineRule="auto"/>
      <w:ind w:left="720" w:hanging="288"/>
      <w:contextualSpacing/>
    </w:pPr>
    <w:rPr>
      <w:color w:val="000000" w:themeColor="text2"/>
    </w:rPr>
  </w:style>
  <w:style w:type="paragraph" w:styleId="NoSpacing">
    <w:name w:val="No Spacing"/>
    <w:link w:val="NoSpacingChar"/>
    <w:uiPriority w:val="1"/>
    <w:qFormat/>
    <w:rsid w:val="000230B9"/>
    <w:pPr>
      <w:spacing w:after="0" w:line="240" w:lineRule="auto"/>
    </w:pPr>
  </w:style>
  <w:style w:type="paragraph" w:styleId="Quote">
    <w:name w:val="Quote"/>
    <w:basedOn w:val="Normal"/>
    <w:next w:val="Normal"/>
    <w:link w:val="QuoteChar"/>
    <w:uiPriority w:val="29"/>
    <w:qFormat/>
    <w:rsid w:val="000230B9"/>
    <w:pPr>
      <w:spacing w:after="0" w:line="360" w:lineRule="auto"/>
      <w:jc w:val="center"/>
    </w:pPr>
    <w:rPr>
      <w:rFonts w:eastAsiaTheme="minorEastAsia"/>
      <w:b/>
      <w:i/>
      <w:iCs/>
      <w:color w:val="4F81BD" w:themeColor="accent1"/>
      <w:sz w:val="26"/>
      <w:lang w:bidi="hi-IN"/>
    </w:rPr>
  </w:style>
  <w:style w:type="character" w:customStyle="1" w:styleId="QuoteChar">
    <w:name w:val="Quote Char"/>
    <w:basedOn w:val="DefaultParagraphFont"/>
    <w:link w:val="Quote"/>
    <w:uiPriority w:val="29"/>
    <w:rsid w:val="000230B9"/>
    <w:rPr>
      <w:rFonts w:eastAsiaTheme="minorEastAsia"/>
      <w:b/>
      <w:i/>
      <w:iCs/>
      <w:color w:val="4F81BD" w:themeColor="accent1"/>
      <w:sz w:val="26"/>
      <w:lang w:bidi="hi-IN"/>
    </w:rPr>
  </w:style>
  <w:style w:type="paragraph" w:styleId="TOCHeading">
    <w:name w:val="TOC Heading"/>
    <w:basedOn w:val="Heading1"/>
    <w:next w:val="Normal"/>
    <w:uiPriority w:val="39"/>
    <w:semiHidden/>
    <w:unhideWhenUsed/>
    <w:qFormat/>
    <w:rsid w:val="000230B9"/>
    <w:pPr>
      <w:spacing w:line="264" w:lineRule="auto"/>
      <w:outlineLvl w:val="9"/>
    </w:pPr>
    <w:rPr>
      <w:b/>
    </w:rPr>
  </w:style>
  <w:style w:type="paragraph" w:customStyle="1" w:styleId="Citation">
    <w:name w:val="Citation"/>
    <w:basedOn w:val="BodyText"/>
    <w:link w:val="CitationChar"/>
    <w:pPr>
      <w:ind w:left="850" w:firstLine="0"/>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291D6C"/>
    <w:rPr>
      <w:color w:val="0000FF" w:themeColor="hyperlink"/>
      <w:u w:val="single"/>
    </w:rPr>
  </w:style>
  <w:style w:type="character" w:customStyle="1" w:styleId="TitleChar">
    <w:name w:val="Title Char"/>
    <w:basedOn w:val="DefaultParagraphFont"/>
    <w:link w:val="Title"/>
    <w:uiPriority w:val="10"/>
    <w:rsid w:val="00D46DA2"/>
    <w:rPr>
      <w:rFonts w:ascii="Arial" w:eastAsiaTheme="majorEastAsia" w:hAnsi="Arial" w:cstheme="majorBidi"/>
      <w:color w:val="000000" w:themeColor="text2"/>
      <w:kern w:val="32"/>
      <w:sz w:val="96"/>
      <w:szCs w:val="52"/>
    </w:rPr>
  </w:style>
  <w:style w:type="character" w:customStyle="1" w:styleId="Heading2Char">
    <w:name w:val="Heading 2 Char"/>
    <w:basedOn w:val="DefaultParagraphFont"/>
    <w:link w:val="Heading2"/>
    <w:uiPriority w:val="9"/>
    <w:rsid w:val="00D46DA2"/>
    <w:rPr>
      <w:rFonts w:ascii="Arial" w:eastAsiaTheme="majorEastAsia" w:hAnsi="Arial" w:cstheme="majorBidi"/>
      <w:b/>
      <w:bCs/>
      <w:smallCaps/>
      <w:color w:val="4F81BD"/>
      <w:szCs w:val="26"/>
    </w:rPr>
  </w:style>
  <w:style w:type="character" w:customStyle="1" w:styleId="Heading1Char">
    <w:name w:val="Heading 1 Char"/>
    <w:basedOn w:val="DefaultParagraphFont"/>
    <w:link w:val="Heading1"/>
    <w:uiPriority w:val="9"/>
    <w:rsid w:val="006865E4"/>
    <w:rPr>
      <w:rFonts w:ascii="Arial" w:eastAsiaTheme="majorEastAsia" w:hAnsi="Arial" w:cstheme="majorBidi"/>
      <w:bCs/>
      <w:caps/>
      <w:color w:val="4F81BD"/>
      <w:sz w:val="32"/>
      <w:szCs w:val="28"/>
    </w:rPr>
  </w:style>
  <w:style w:type="character" w:customStyle="1" w:styleId="Heading3Char">
    <w:name w:val="Heading 3 Char"/>
    <w:basedOn w:val="DefaultParagraphFont"/>
    <w:link w:val="Heading3"/>
    <w:uiPriority w:val="9"/>
    <w:rsid w:val="000230B9"/>
    <w:rPr>
      <w:rFonts w:asciiTheme="majorHAnsi" w:eastAsiaTheme="majorEastAsia" w:hAnsiTheme="majorHAnsi" w:cstheme="majorBidi"/>
      <w:bCs/>
      <w:color w:val="000000" w:themeColor="text2"/>
      <w:spacing w:val="14"/>
      <w:sz w:val="24"/>
    </w:rPr>
  </w:style>
  <w:style w:type="character" w:customStyle="1" w:styleId="Heading4Char">
    <w:name w:val="Heading 4 Char"/>
    <w:basedOn w:val="DefaultParagraphFont"/>
    <w:link w:val="Heading4"/>
    <w:uiPriority w:val="9"/>
    <w:rsid w:val="000230B9"/>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0230B9"/>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rsid w:val="000230B9"/>
    <w:rPr>
      <w:rFonts w:asciiTheme="majorHAnsi" w:eastAsiaTheme="majorEastAsia" w:hAnsiTheme="majorHAnsi" w:cstheme="majorBidi"/>
      <w:iCs/>
      <w:color w:val="4F81BD" w:themeColor="accent1"/>
    </w:rPr>
  </w:style>
  <w:style w:type="character" w:customStyle="1" w:styleId="Heading7Char">
    <w:name w:val="Heading 7 Char"/>
    <w:basedOn w:val="DefaultParagraphFont"/>
    <w:link w:val="Heading7"/>
    <w:uiPriority w:val="9"/>
    <w:rsid w:val="000230B9"/>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rsid w:val="000230B9"/>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rsid w:val="000230B9"/>
    <w:rPr>
      <w:rFonts w:asciiTheme="majorHAnsi" w:eastAsiaTheme="majorEastAsia" w:hAnsiTheme="majorHAnsi" w:cstheme="majorBidi"/>
      <w:i/>
      <w:iCs/>
      <w:color w:val="000000"/>
      <w:sz w:val="20"/>
      <w:szCs w:val="20"/>
    </w:rPr>
  </w:style>
  <w:style w:type="character" w:customStyle="1" w:styleId="SubtitleChar">
    <w:name w:val="Subtitle Char"/>
    <w:basedOn w:val="DefaultParagraphFont"/>
    <w:link w:val="Subtitle"/>
    <w:uiPriority w:val="11"/>
    <w:rsid w:val="000230B9"/>
    <w:rPr>
      <w:rFonts w:eastAsiaTheme="majorEastAsia" w:cstheme="majorBidi"/>
      <w:iCs/>
      <w:color w:val="000000" w:themeColor="text2"/>
      <w:sz w:val="40"/>
      <w:szCs w:val="24"/>
      <w:lang w:bidi="hi-IN"/>
    </w:rPr>
  </w:style>
  <w:style w:type="character" w:styleId="Strong">
    <w:name w:val="Strong"/>
    <w:basedOn w:val="DefaultParagraphFont"/>
    <w:uiPriority w:val="22"/>
    <w:qFormat/>
    <w:rsid w:val="000230B9"/>
    <w:rPr>
      <w:b w:val="0"/>
      <w:bCs/>
      <w:i/>
      <w:color w:val="000000" w:themeColor="text2"/>
    </w:rPr>
  </w:style>
  <w:style w:type="character" w:styleId="Emphasis">
    <w:name w:val="Emphasis"/>
    <w:basedOn w:val="DefaultParagraphFont"/>
    <w:uiPriority w:val="20"/>
    <w:qFormat/>
    <w:rsid w:val="000230B9"/>
    <w:rPr>
      <w:b/>
      <w:i/>
      <w:iCs/>
    </w:rPr>
  </w:style>
  <w:style w:type="character" w:customStyle="1" w:styleId="NoSpacingChar">
    <w:name w:val="No Spacing Char"/>
    <w:basedOn w:val="DefaultParagraphFont"/>
    <w:link w:val="NoSpacing"/>
    <w:uiPriority w:val="1"/>
    <w:rsid w:val="000230B9"/>
  </w:style>
  <w:style w:type="character" w:styleId="SubtleEmphasis">
    <w:name w:val="Subtle Emphasis"/>
    <w:basedOn w:val="DefaultParagraphFont"/>
    <w:uiPriority w:val="19"/>
    <w:qFormat/>
    <w:rsid w:val="000230B9"/>
    <w:rPr>
      <w:i/>
      <w:iCs/>
      <w:color w:val="000000"/>
    </w:rPr>
  </w:style>
  <w:style w:type="character" w:styleId="IntenseEmphasis">
    <w:name w:val="Intense Emphasis"/>
    <w:basedOn w:val="DefaultParagraphFont"/>
    <w:uiPriority w:val="21"/>
    <w:qFormat/>
    <w:rsid w:val="000230B9"/>
    <w:rPr>
      <w:b/>
      <w:bCs/>
      <w:i/>
      <w:iCs/>
      <w:color w:val="4F81BD" w:themeColor="accent1"/>
    </w:rPr>
  </w:style>
  <w:style w:type="character" w:styleId="SubtleReference">
    <w:name w:val="Subtle Reference"/>
    <w:basedOn w:val="DefaultParagraphFont"/>
    <w:uiPriority w:val="31"/>
    <w:qFormat/>
    <w:rsid w:val="000230B9"/>
    <w:rPr>
      <w:smallCaps/>
      <w:color w:val="000000"/>
      <w:u w:val="single"/>
    </w:rPr>
  </w:style>
  <w:style w:type="character" w:styleId="IntenseReference">
    <w:name w:val="Intense Reference"/>
    <w:basedOn w:val="DefaultParagraphFont"/>
    <w:uiPriority w:val="32"/>
    <w:qFormat/>
    <w:rsid w:val="000230B9"/>
    <w:rPr>
      <w:b w:val="0"/>
      <w:bCs/>
      <w:smallCaps/>
      <w:color w:val="4F81BD" w:themeColor="accent1"/>
      <w:spacing w:val="5"/>
      <w:u w:val="single"/>
    </w:rPr>
  </w:style>
  <w:style w:type="character" w:styleId="BookTitle">
    <w:name w:val="Book Title"/>
    <w:basedOn w:val="DefaultParagraphFont"/>
    <w:uiPriority w:val="33"/>
    <w:qFormat/>
    <w:rsid w:val="000230B9"/>
    <w:rPr>
      <w:b/>
      <w:bCs/>
      <w:caps/>
      <w:smallCaps w:val="0"/>
      <w:color w:val="000000" w:themeColor="text2"/>
      <w:spacing w:val="10"/>
    </w:rPr>
  </w:style>
  <w:style w:type="table" w:styleId="TableGrid">
    <w:name w:val="Table Grid"/>
    <w:basedOn w:val="TableNormal"/>
    <w:uiPriority w:val="59"/>
    <w:rsid w:val="001D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7333"/>
    <w:rPr>
      <w:sz w:val="16"/>
      <w:szCs w:val="16"/>
    </w:rPr>
  </w:style>
  <w:style w:type="character" w:customStyle="1" w:styleId="BodyTextChar">
    <w:name w:val="Body Text Char"/>
    <w:basedOn w:val="DefaultParagraphFont"/>
    <w:link w:val="BodyText"/>
    <w:rsid w:val="000D4315"/>
    <w:rPr>
      <w:sz w:val="21"/>
    </w:rPr>
  </w:style>
  <w:style w:type="paragraph" w:customStyle="1" w:styleId="bodytext0">
    <w:name w:val="bodytext"/>
    <w:basedOn w:val="Normal"/>
    <w:rsid w:val="009A658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B17CEA"/>
    <w:pPr>
      <w:spacing w:after="0" w:line="240" w:lineRule="auto"/>
    </w:pPr>
    <w:rPr>
      <w:sz w:val="21"/>
    </w:rPr>
  </w:style>
  <w:style w:type="character" w:styleId="FollowedHyperlink">
    <w:name w:val="FollowedHyperlink"/>
    <w:basedOn w:val="DefaultParagraphFont"/>
    <w:uiPriority w:val="99"/>
    <w:semiHidden/>
    <w:unhideWhenUsed/>
    <w:rsid w:val="000822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400FA"/>
    <w:pPr>
      <w:spacing w:after="180" w:line="274" w:lineRule="auto"/>
    </w:pPr>
    <w:rPr>
      <w:sz w:val="21"/>
    </w:rPr>
  </w:style>
  <w:style w:type="paragraph" w:styleId="Heading1">
    <w:name w:val="heading 1"/>
    <w:basedOn w:val="Normal"/>
    <w:next w:val="Normal"/>
    <w:link w:val="Heading1Char"/>
    <w:autoRedefine/>
    <w:uiPriority w:val="9"/>
    <w:qFormat/>
    <w:rsid w:val="006865E4"/>
    <w:pPr>
      <w:keepNext/>
      <w:keepLines/>
      <w:pBdr>
        <w:bottom w:val="single" w:sz="4" w:space="1" w:color="244061" w:themeColor="accent1" w:themeShade="80"/>
      </w:pBdr>
      <w:spacing w:before="480" w:after="100" w:afterAutospacing="1" w:line="240" w:lineRule="auto"/>
      <w:outlineLvl w:val="0"/>
    </w:pPr>
    <w:rPr>
      <w:rFonts w:ascii="Arial" w:eastAsiaTheme="majorEastAsia" w:hAnsi="Arial" w:cstheme="majorBidi"/>
      <w:bCs/>
      <w:caps/>
      <w:color w:val="4F81BD"/>
      <w:sz w:val="32"/>
      <w:szCs w:val="28"/>
    </w:rPr>
  </w:style>
  <w:style w:type="paragraph" w:styleId="Heading2">
    <w:name w:val="heading 2"/>
    <w:basedOn w:val="Normal"/>
    <w:next w:val="Normal"/>
    <w:link w:val="Heading2Char"/>
    <w:uiPriority w:val="9"/>
    <w:unhideWhenUsed/>
    <w:qFormat/>
    <w:rsid w:val="00D46DA2"/>
    <w:pPr>
      <w:keepNext/>
      <w:keepLines/>
      <w:spacing w:before="480" w:after="120" w:line="240" w:lineRule="auto"/>
      <w:outlineLvl w:val="1"/>
    </w:pPr>
    <w:rPr>
      <w:rFonts w:ascii="Arial" w:eastAsiaTheme="majorEastAsia" w:hAnsi="Arial" w:cstheme="majorBidi"/>
      <w:b/>
      <w:bCs/>
      <w:smallCaps/>
      <w:color w:val="4F81BD"/>
      <w:sz w:val="22"/>
      <w:szCs w:val="26"/>
    </w:rPr>
  </w:style>
  <w:style w:type="paragraph" w:styleId="Heading3">
    <w:name w:val="heading 3"/>
    <w:basedOn w:val="Normal"/>
    <w:next w:val="Normal"/>
    <w:link w:val="Heading3Char"/>
    <w:uiPriority w:val="9"/>
    <w:unhideWhenUsed/>
    <w:qFormat/>
    <w:rsid w:val="000230B9"/>
    <w:pPr>
      <w:keepNext/>
      <w:keepLines/>
      <w:spacing w:before="20" w:after="0" w:line="240" w:lineRule="auto"/>
      <w:outlineLvl w:val="2"/>
    </w:pPr>
    <w:rPr>
      <w:rFonts w:asciiTheme="majorHAnsi" w:eastAsiaTheme="majorEastAsia" w:hAnsiTheme="majorHAnsi" w:cstheme="majorBidi"/>
      <w:bCs/>
      <w:color w:val="000000" w:themeColor="text2"/>
      <w:spacing w:val="14"/>
      <w:sz w:val="24"/>
    </w:rPr>
  </w:style>
  <w:style w:type="paragraph" w:styleId="Heading4">
    <w:name w:val="heading 4"/>
    <w:basedOn w:val="Normal"/>
    <w:next w:val="Normal"/>
    <w:link w:val="Heading4Char"/>
    <w:uiPriority w:val="9"/>
    <w:unhideWhenUsed/>
    <w:qFormat/>
    <w:rsid w:val="000230B9"/>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0230B9"/>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unhideWhenUsed/>
    <w:qFormat/>
    <w:rsid w:val="000230B9"/>
    <w:pPr>
      <w:keepNext/>
      <w:keepLines/>
      <w:spacing w:before="200" w:after="0"/>
      <w:outlineLvl w:val="5"/>
    </w:pPr>
    <w:rPr>
      <w:rFonts w:asciiTheme="majorHAnsi" w:eastAsiaTheme="majorEastAsia" w:hAnsiTheme="majorHAnsi" w:cstheme="majorBidi"/>
      <w:iCs/>
      <w:color w:val="4F81BD" w:themeColor="accent1"/>
      <w:sz w:val="22"/>
    </w:rPr>
  </w:style>
  <w:style w:type="paragraph" w:styleId="Heading7">
    <w:name w:val="heading 7"/>
    <w:basedOn w:val="Normal"/>
    <w:next w:val="Normal"/>
    <w:link w:val="Heading7Char"/>
    <w:uiPriority w:val="9"/>
    <w:unhideWhenUsed/>
    <w:qFormat/>
    <w:rsid w:val="000230B9"/>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unhideWhenUsed/>
    <w:qFormat/>
    <w:rsid w:val="000230B9"/>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unhideWhenUsed/>
    <w:qFormat/>
    <w:rsid w:val="000230B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rPr>
      <w:rFonts w:ascii="Arial" w:hAnsi="Arial" w:cs="Arial"/>
      <w:sz w:val="18"/>
      <w:szCs w:val="18"/>
    </w:rPr>
  </w:style>
  <w:style w:type="paragraph" w:customStyle="1" w:styleId="ColumnsHeading">
    <w:name w:val="Columns Heading"/>
    <w:basedOn w:val="Normal"/>
    <w:pPr>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spacing w:after="240"/>
    </w:pPr>
  </w:style>
  <w:style w:type="paragraph" w:styleId="ListBullet2">
    <w:name w:val="List Bullet 2"/>
    <w:basedOn w:val="Normal"/>
    <w:pPr>
      <w:numPr>
        <w:numId w:val="6"/>
      </w:numPr>
      <w:spacing w:after="240"/>
    </w:pPr>
  </w:style>
  <w:style w:type="paragraph" w:styleId="ListBullet3">
    <w:name w:val="List Bullet 3"/>
    <w:basedOn w:val="Normal"/>
    <w:pPr>
      <w:numPr>
        <w:numId w:val="7"/>
      </w:numPr>
      <w:spacing w:after="240"/>
    </w:pPr>
  </w:style>
  <w:style w:type="paragraph" w:styleId="ListBullet4">
    <w:name w:val="List Bullet 4"/>
    <w:basedOn w:val="Normal"/>
    <w:pPr>
      <w:numPr>
        <w:numId w:val="8"/>
      </w:numPr>
      <w:spacing w:after="240"/>
    </w:pPr>
  </w:style>
  <w:style w:type="paragraph" w:styleId="ListBullet5">
    <w:name w:val="List Bullet 5"/>
    <w:basedOn w:val="Normal"/>
    <w:pPr>
      <w:numPr>
        <w:numId w:val="9"/>
      </w:numPr>
      <w:spacing w:after="240"/>
    </w:pPr>
  </w:style>
  <w:style w:type="paragraph" w:styleId="ListContinue">
    <w:name w:val="List Continue"/>
    <w:basedOn w:val="Normal"/>
    <w:pPr>
      <w:spacing w:after="240"/>
      <w:ind w:left="850"/>
    </w:pPr>
  </w:style>
  <w:style w:type="paragraph" w:styleId="ListContinue2">
    <w:name w:val="List Continue 2"/>
    <w:basedOn w:val="Normal"/>
    <w:pPr>
      <w:spacing w:after="240"/>
      <w:ind w:left="1191"/>
    </w:pPr>
  </w:style>
  <w:style w:type="paragraph" w:styleId="ListContinue3">
    <w:name w:val="List Continue 3"/>
    <w:basedOn w:val="Normal"/>
    <w:pPr>
      <w:spacing w:after="240"/>
      <w:ind w:left="1474"/>
    </w:pPr>
  </w:style>
  <w:style w:type="paragraph" w:styleId="ListContinue4">
    <w:name w:val="List Continue 4"/>
    <w:basedOn w:val="Normal"/>
    <w:pPr>
      <w:spacing w:after="240"/>
      <w:ind w:left="1757"/>
    </w:pPr>
  </w:style>
  <w:style w:type="paragraph" w:styleId="ListContinue5">
    <w:name w:val="List Continue 5"/>
    <w:basedOn w:val="Normal"/>
    <w:pPr>
      <w:spacing w:after="240"/>
      <w:ind w:left="2041"/>
    </w:pPr>
  </w:style>
  <w:style w:type="paragraph" w:styleId="ListNumber">
    <w:name w:val="List Number"/>
    <w:basedOn w:val="Normal"/>
    <w:pPr>
      <w:numPr>
        <w:numId w:val="10"/>
      </w:numPr>
      <w:tabs>
        <w:tab w:val="left" w:pos="1134"/>
      </w:tabs>
      <w:spacing w:after="240"/>
    </w:pPr>
  </w:style>
  <w:style w:type="paragraph" w:styleId="ListNumber2">
    <w:name w:val="List Number 2"/>
    <w:basedOn w:val="Normal"/>
    <w:pPr>
      <w:numPr>
        <w:ilvl w:val="1"/>
        <w:numId w:val="10"/>
      </w:numPr>
      <w:tabs>
        <w:tab w:val="left" w:pos="1417"/>
      </w:tabs>
      <w:spacing w:after="240"/>
    </w:pPr>
  </w:style>
  <w:style w:type="paragraph" w:styleId="ListNumber3">
    <w:name w:val="List Number 3"/>
    <w:basedOn w:val="Normal"/>
    <w:pPr>
      <w:numPr>
        <w:ilvl w:val="2"/>
        <w:numId w:val="10"/>
      </w:numPr>
      <w:tabs>
        <w:tab w:val="left" w:pos="1701"/>
      </w:tabs>
      <w:spacing w:after="240"/>
    </w:pPr>
  </w:style>
  <w:style w:type="paragraph" w:styleId="ListNumber4">
    <w:name w:val="List Number 4"/>
    <w:basedOn w:val="Normal"/>
    <w:pPr>
      <w:numPr>
        <w:ilvl w:val="3"/>
        <w:numId w:val="10"/>
      </w:numPr>
      <w:tabs>
        <w:tab w:val="left" w:pos="1984"/>
      </w:tabs>
      <w:spacing w:after="240"/>
    </w:pPr>
  </w:style>
  <w:style w:type="paragraph" w:styleId="ListNumber5">
    <w:name w:val="List Number 5"/>
    <w:basedOn w:val="Normal"/>
    <w:pPr>
      <w:numPr>
        <w:ilvl w:val="4"/>
        <w:numId w:val="10"/>
      </w:numPr>
      <w:tabs>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pPr>
      <w:tabs>
        <w:tab w:val="right" w:leader="dot" w:pos="8504"/>
      </w:tabs>
      <w:spacing w:before="120" w:after="120"/>
    </w:pPr>
    <w:rPr>
      <w:caps/>
    </w:rPr>
  </w:style>
  <w:style w:type="paragraph" w:styleId="TOC2">
    <w:name w:val="toc 2"/>
    <w:basedOn w:val="Normal"/>
    <w:next w:val="Normal"/>
    <w:uiPriority w:val="39"/>
    <w:pPr>
      <w:tabs>
        <w:tab w:val="right" w:leader="dot" w:pos="8504"/>
      </w:tabs>
      <w:ind w:left="198"/>
    </w:pPr>
  </w:style>
  <w:style w:type="paragraph" w:styleId="TOC3">
    <w:name w:val="toc 3"/>
    <w:basedOn w:val="Normal"/>
    <w:next w:val="Normal"/>
    <w:pPr>
      <w:tabs>
        <w:tab w:val="right" w:leader="dot" w:pos="8504"/>
      </w:tabs>
      <w:ind w:left="397"/>
    </w:pPr>
  </w:style>
  <w:style w:type="paragraph" w:styleId="TOC4">
    <w:name w:val="toc 4"/>
    <w:basedOn w:val="Normal"/>
    <w:next w:val="Normal"/>
    <w:pPr>
      <w:tabs>
        <w:tab w:val="right" w:leader="dot" w:pos="8504"/>
      </w:tabs>
      <w:ind w:left="595"/>
    </w:pPr>
    <w:rPr>
      <w:noProof/>
    </w:rPr>
  </w:style>
  <w:style w:type="paragraph" w:styleId="TOC5">
    <w:name w:val="toc 5"/>
    <w:basedOn w:val="Normal"/>
    <w:next w:val="Normal"/>
    <w:pPr>
      <w:tabs>
        <w:tab w:val="right" w:leader="dot" w:pos="8504"/>
      </w:tabs>
      <w:ind w:left="794"/>
    </w:pPr>
    <w:rPr>
      <w:noProof/>
    </w:rPr>
  </w:style>
  <w:style w:type="paragraph" w:customStyle="1" w:styleId="IndexHeading1">
    <w:name w:val="Index Heading1"/>
    <w:basedOn w:val="Normal"/>
    <w:next w:val="BodyText"/>
    <w:pPr>
      <w:keepNext/>
      <w:spacing w:before="1200" w:after="720"/>
      <w:jc w:val="center"/>
    </w:pPr>
    <w:rPr>
      <w:b/>
      <w:caps/>
    </w:rPr>
  </w:style>
  <w:style w:type="paragraph" w:styleId="BlockText">
    <w:name w:val="Block Text"/>
    <w:basedOn w:val="Normal"/>
    <w:pPr>
      <w:spacing w:after="120"/>
      <w:ind w:left="1440" w:right="1440"/>
    </w:pPr>
  </w:style>
  <w:style w:type="paragraph" w:styleId="TOC9">
    <w:name w:val="toc 9"/>
    <w:basedOn w:val="Normal"/>
    <w:next w:val="Normal"/>
    <w:pPr>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style>
  <w:style w:type="paragraph" w:customStyle="1" w:styleId="Author">
    <w:name w:val="Author"/>
    <w:basedOn w:val="BodyText"/>
    <w:pPr>
      <w:ind w:firstLine="0"/>
    </w:pPr>
  </w:style>
  <w:style w:type="paragraph" w:customStyle="1" w:styleId="Chart">
    <w:name w:val="Chart"/>
    <w:basedOn w:val="Normal"/>
    <w:next w:val="BodyText"/>
    <w:pPr>
      <w:spacing w:after="240"/>
      <w:jc w:val="center"/>
    </w:pPr>
  </w:style>
  <w:style w:type="paragraph" w:customStyle="1" w:styleId="ChartSub-title">
    <w:name w:val="Chart Sub-title"/>
    <w:basedOn w:val="Normal"/>
    <w:pPr>
      <w:keepNext/>
      <w:spacing w:after="120"/>
      <w:jc w:val="center"/>
    </w:pPr>
    <w:rPr>
      <w:rFonts w:ascii="Arial" w:hAnsi="Arial" w:cs="Arial"/>
      <w:sz w:val="18"/>
    </w:rPr>
  </w:style>
  <w:style w:type="paragraph" w:customStyle="1" w:styleId="ChartTitle">
    <w:name w:val="Chart Title"/>
    <w:basedOn w:val="Normal"/>
    <w:next w:val="ChartSub-title"/>
    <w:pPr>
      <w:keepNext/>
      <w:spacing w:after="240"/>
      <w:jc w:val="center"/>
    </w:pPr>
    <w:rPr>
      <w:rFonts w:ascii="Arial" w:hAnsi="Arial" w:cs="Arial"/>
      <w:b/>
      <w:sz w:val="18"/>
    </w:rPr>
  </w:style>
  <w:style w:type="paragraph" w:customStyle="1" w:styleId="ChartNote">
    <w:name w:val="Chart Note"/>
    <w:basedOn w:val="Normal"/>
    <w:pPr>
      <w:spacing w:after="120"/>
    </w:pPr>
    <w:rPr>
      <w:rFonts w:ascii="Arial" w:hAnsi="Arial" w:cs="Arial"/>
      <w:sz w:val="16"/>
    </w:rPr>
  </w:style>
  <w:style w:type="paragraph" w:customStyle="1" w:styleId="BoxHeading2">
    <w:name w:val="Box Heading 2"/>
    <w:basedOn w:val="Normal"/>
    <w:next w:val="BoxBodyText"/>
    <w:pPr>
      <w:spacing w:before="240" w:after="240"/>
    </w:pPr>
    <w:rPr>
      <w:rFonts w:ascii="Arial" w:hAnsi="Arial" w:cs="Arial"/>
      <w:b/>
      <w:sz w:val="18"/>
    </w:rPr>
  </w:style>
  <w:style w:type="paragraph" w:customStyle="1" w:styleId="BoxHeading3">
    <w:name w:val="Box Heading 3"/>
    <w:basedOn w:val="Normal"/>
    <w:next w:val="BoxBodyText"/>
    <w:pPr>
      <w:spacing w:before="240" w:after="240"/>
    </w:pPr>
    <w:rPr>
      <w:rFonts w:ascii="Arial" w:hAnsi="Arial" w:cs="Arial"/>
      <w:b/>
      <w:i/>
      <w:sz w:val="18"/>
    </w:rPr>
  </w:style>
  <w:style w:type="paragraph" w:customStyle="1" w:styleId="BoxNote">
    <w:name w:val="Box Note"/>
    <w:basedOn w:val="Normal"/>
    <w:pPr>
      <w:tabs>
        <w:tab w:val="left" w:pos="340"/>
      </w:tabs>
      <w:spacing w:after="120"/>
    </w:pPr>
    <w:rPr>
      <w:rFonts w:ascii="Arial" w:hAnsi="Arial" w:cs="Arial"/>
      <w:sz w:val="18"/>
    </w:rPr>
  </w:style>
  <w:style w:type="paragraph" w:customStyle="1" w:styleId="ListBulletBox">
    <w:name w:val="List Bullet Box"/>
    <w:basedOn w:val="Normal"/>
    <w:pPr>
      <w:numPr>
        <w:numId w:val="11"/>
      </w:numPr>
      <w:spacing w:after="240"/>
    </w:pPr>
    <w:rPr>
      <w:rFonts w:ascii="Arial" w:hAnsi="Arial" w:cs="Arial"/>
      <w:sz w:val="18"/>
    </w:rPr>
  </w:style>
  <w:style w:type="paragraph" w:customStyle="1" w:styleId="ListBulletBox2">
    <w:name w:val="List Bullet Box 2"/>
    <w:basedOn w:val="Normal"/>
    <w:pPr>
      <w:numPr>
        <w:numId w:val="12"/>
      </w:numPr>
      <w:spacing w:after="240"/>
    </w:pPr>
    <w:rPr>
      <w:rFonts w:ascii="Arial" w:hAnsi="Arial" w:cs="Arial"/>
      <w:sz w:val="18"/>
    </w:rPr>
  </w:style>
  <w:style w:type="paragraph" w:customStyle="1" w:styleId="ListBulletBox3">
    <w:name w:val="List Bullet Box 3"/>
    <w:basedOn w:val="Normal"/>
    <w:pPr>
      <w:numPr>
        <w:numId w:val="13"/>
      </w:numPr>
      <w:spacing w:after="240"/>
    </w:pPr>
    <w:rPr>
      <w:rFonts w:ascii="Arial" w:hAnsi="Arial" w:cs="Arial"/>
      <w:sz w:val="18"/>
    </w:rPr>
  </w:style>
  <w:style w:type="paragraph" w:customStyle="1" w:styleId="ListNumberBox">
    <w:name w:val="List Number Box"/>
    <w:basedOn w:val="Normal"/>
    <w:pPr>
      <w:numPr>
        <w:numId w:val="14"/>
      </w:numPr>
      <w:tabs>
        <w:tab w:val="clear" w:pos="1950"/>
      </w:tabs>
      <w:spacing w:after="240"/>
      <w:ind w:left="850"/>
    </w:pPr>
    <w:rPr>
      <w:rFonts w:ascii="Arial" w:hAnsi="Arial" w:cs="Arial"/>
      <w:sz w:val="18"/>
    </w:rPr>
  </w:style>
  <w:style w:type="paragraph" w:customStyle="1" w:styleId="ListNumberBox2">
    <w:name w:val="List Number Box 2"/>
    <w:basedOn w:val="Normal"/>
    <w:pPr>
      <w:numPr>
        <w:ilvl w:val="1"/>
        <w:numId w:val="14"/>
      </w:numPr>
      <w:tabs>
        <w:tab w:val="clear" w:pos="2291"/>
      </w:tabs>
      <w:spacing w:after="240"/>
      <w:ind w:left="1191" w:hanging="340"/>
    </w:pPr>
    <w:rPr>
      <w:rFonts w:ascii="Arial" w:hAnsi="Arial" w:cs="Arial"/>
      <w:sz w:val="18"/>
    </w:rPr>
  </w:style>
  <w:style w:type="paragraph" w:customStyle="1" w:styleId="ListNumberBox3">
    <w:name w:val="List Number Box 3"/>
    <w:basedOn w:val="Normal"/>
    <w:pPr>
      <w:numPr>
        <w:ilvl w:val="2"/>
        <w:numId w:val="14"/>
      </w:numPr>
      <w:tabs>
        <w:tab w:val="clear" w:pos="2574"/>
        <w:tab w:val="left" w:pos="1474"/>
      </w:tabs>
      <w:spacing w:after="240"/>
      <w:ind w:left="1474"/>
    </w:pPr>
    <w:rPr>
      <w:rFonts w:ascii="Arial" w:hAnsi="Arial" w:cs="Arial"/>
      <w:sz w:val="18"/>
    </w:rPr>
  </w:style>
  <w:style w:type="paragraph" w:customStyle="1" w:styleId="ListContinueBox">
    <w:name w:val="List Continue Box"/>
    <w:basedOn w:val="Normal"/>
    <w:pPr>
      <w:spacing w:after="240"/>
      <w:ind w:left="850"/>
    </w:pPr>
    <w:rPr>
      <w:rFonts w:ascii="Arial" w:hAnsi="Arial" w:cs="Arial"/>
      <w:sz w:val="18"/>
    </w:rPr>
  </w:style>
  <w:style w:type="paragraph" w:customStyle="1" w:styleId="ListContinueBox2">
    <w:name w:val="List Continue Box 2"/>
    <w:basedOn w:val="Normal"/>
    <w:pPr>
      <w:spacing w:after="240"/>
      <w:ind w:left="1191"/>
    </w:pPr>
    <w:rPr>
      <w:rFonts w:ascii="Arial" w:hAnsi="Arial" w:cs="Arial"/>
      <w:sz w:val="18"/>
    </w:rPr>
  </w:style>
  <w:style w:type="paragraph" w:customStyle="1" w:styleId="ListContinueBox3">
    <w:name w:val="List Continue Box 3"/>
    <w:basedOn w:val="Normal"/>
    <w:pPr>
      <w:spacing w:after="240"/>
      <w:ind w:left="1474"/>
    </w:pPr>
    <w:rPr>
      <w:rFonts w:ascii="Arial" w:hAnsi="Arial" w:cs="Arial"/>
      <w:sz w:val="18"/>
    </w:rPr>
  </w:style>
  <w:style w:type="paragraph" w:customStyle="1" w:styleId="BoxSource">
    <w:name w:val="Box Source"/>
    <w:basedOn w:val="Normal"/>
    <w:next w:val="BodyText"/>
    <w:pPr>
      <w:spacing w:after="360"/>
    </w:pPr>
    <w:rPr>
      <w:rFonts w:ascii="Arial" w:hAnsi="Arial" w:cs="Arial"/>
      <w:sz w:val="16"/>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Caption">
    <w:name w:val="caption"/>
    <w:basedOn w:val="Normal"/>
    <w:next w:val="Normal"/>
    <w:uiPriority w:val="35"/>
    <w:unhideWhenUsed/>
    <w:qFormat/>
    <w:rsid w:val="000230B9"/>
    <w:pPr>
      <w:spacing w:line="240" w:lineRule="auto"/>
    </w:pPr>
    <w:rPr>
      <w:rFonts w:asciiTheme="majorHAnsi" w:eastAsiaTheme="minorEastAsia" w:hAnsiTheme="majorHAnsi"/>
      <w:bCs/>
      <w:smallCaps/>
      <w:color w:val="000000" w:themeColor="text2"/>
      <w:spacing w:val="6"/>
      <w:sz w:val="22"/>
      <w:szCs w:val="18"/>
      <w:lang w:bidi="hi-IN"/>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next w:val="Normal"/>
    <w:link w:val="SubtitleChar"/>
    <w:uiPriority w:val="11"/>
    <w:qFormat/>
    <w:rsid w:val="000230B9"/>
    <w:pPr>
      <w:numPr>
        <w:ilvl w:val="1"/>
      </w:numPr>
    </w:pPr>
    <w:rPr>
      <w:rFonts w:eastAsiaTheme="majorEastAsia" w:cstheme="majorBidi"/>
      <w:iCs/>
      <w:color w:val="000000" w:themeColor="text2"/>
      <w:sz w:val="40"/>
      <w:szCs w:val="24"/>
      <w:lang w:bidi="hi-IN"/>
    </w:rPr>
  </w:style>
  <w:style w:type="paragraph" w:styleId="TableofFigures">
    <w:name w:val="table of figures"/>
    <w:basedOn w:val="Normal"/>
    <w:next w:val="Normal"/>
    <w:semiHidden/>
    <w:pPr>
      <w:ind w:left="440" w:hanging="440"/>
    </w:pPr>
  </w:style>
  <w:style w:type="paragraph" w:styleId="TableofAuthorities">
    <w:name w:val="table of authorities"/>
    <w:basedOn w:val="Normal"/>
    <w:next w:val="Normal"/>
    <w:semiHidden/>
    <w:pPr>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next w:val="Normal"/>
    <w:link w:val="TitleChar"/>
    <w:uiPriority w:val="10"/>
    <w:qFormat/>
    <w:rsid w:val="00D46DA2"/>
    <w:pPr>
      <w:spacing w:before="720" w:after="840" w:line="360" w:lineRule="auto"/>
      <w:contextualSpacing/>
      <w:jc w:val="center"/>
    </w:pPr>
    <w:rPr>
      <w:rFonts w:ascii="Arial" w:eastAsiaTheme="majorEastAsia" w:hAnsi="Arial" w:cstheme="majorBidi"/>
      <w:color w:val="000000" w:themeColor="text2"/>
      <w:kern w:val="32"/>
      <w:sz w:val="96"/>
      <w:szCs w:val="5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pPr>
      <w:ind w:left="1100"/>
    </w:pPr>
  </w:style>
  <w:style w:type="paragraph" w:styleId="TOC7">
    <w:name w:val="toc 7"/>
    <w:basedOn w:val="Normal"/>
    <w:next w:val="Normal"/>
    <w:pPr>
      <w:ind w:left="1320"/>
    </w:pPr>
  </w:style>
  <w:style w:type="paragraph" w:styleId="TOC8">
    <w:name w:val="toc 8"/>
    <w:basedOn w:val="Normal"/>
    <w:next w:val="Normal"/>
    <w:pPr>
      <w:ind w:left="1540"/>
    </w:pPr>
  </w:style>
  <w:style w:type="paragraph" w:customStyle="1" w:styleId="BoxBodyText">
    <w:name w:val="Box Body Text"/>
    <w:basedOn w:val="Normal"/>
    <w:pPr>
      <w:spacing w:after="240"/>
      <w:ind w:firstLine="442"/>
    </w:pPr>
    <w:rPr>
      <w:rFonts w:ascii="Arial" w:hAnsi="Arial" w:cs="Arial"/>
      <w:sz w:val="18"/>
    </w:rPr>
  </w:style>
  <w:style w:type="paragraph" w:customStyle="1" w:styleId="BoxBodyTextIndent">
    <w:name w:val="Box Body Text Indent"/>
    <w:basedOn w:val="Normal"/>
    <w:pPr>
      <w:spacing w:after="240"/>
      <w:ind w:left="442"/>
    </w:pPr>
    <w:rPr>
      <w:rFonts w:ascii="Arial" w:hAnsi="Arial" w:cs="Arial"/>
      <w:sz w:val="18"/>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rsid w:val="000230B9"/>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0230B9"/>
    <w:rPr>
      <w:rFonts w:asciiTheme="majorHAnsi" w:eastAsiaTheme="minorEastAsia" w:hAnsiTheme="majorHAnsi"/>
      <w:bCs/>
      <w:iCs/>
      <w:color w:val="FFFFFF" w:themeColor="background1"/>
      <w:sz w:val="28"/>
      <w:shd w:val="clear" w:color="auto" w:fill="4F81BD" w:themeFill="accent1"/>
      <w:lang w:bidi="hi-IN"/>
    </w:rPr>
  </w:style>
  <w:style w:type="paragraph" w:styleId="ListParagraph">
    <w:name w:val="List Paragraph"/>
    <w:basedOn w:val="Normal"/>
    <w:uiPriority w:val="34"/>
    <w:qFormat/>
    <w:rsid w:val="000230B9"/>
    <w:pPr>
      <w:spacing w:line="240" w:lineRule="auto"/>
      <w:ind w:left="720" w:hanging="288"/>
      <w:contextualSpacing/>
    </w:pPr>
    <w:rPr>
      <w:color w:val="000000" w:themeColor="text2"/>
    </w:rPr>
  </w:style>
  <w:style w:type="paragraph" w:styleId="NoSpacing">
    <w:name w:val="No Spacing"/>
    <w:link w:val="NoSpacingChar"/>
    <w:uiPriority w:val="1"/>
    <w:qFormat/>
    <w:rsid w:val="000230B9"/>
    <w:pPr>
      <w:spacing w:after="0" w:line="240" w:lineRule="auto"/>
    </w:pPr>
  </w:style>
  <w:style w:type="paragraph" w:styleId="Quote">
    <w:name w:val="Quote"/>
    <w:basedOn w:val="Normal"/>
    <w:next w:val="Normal"/>
    <w:link w:val="QuoteChar"/>
    <w:uiPriority w:val="29"/>
    <w:qFormat/>
    <w:rsid w:val="000230B9"/>
    <w:pPr>
      <w:spacing w:after="0" w:line="360" w:lineRule="auto"/>
      <w:jc w:val="center"/>
    </w:pPr>
    <w:rPr>
      <w:rFonts w:eastAsiaTheme="minorEastAsia"/>
      <w:b/>
      <w:i/>
      <w:iCs/>
      <w:color w:val="4F81BD" w:themeColor="accent1"/>
      <w:sz w:val="26"/>
      <w:lang w:bidi="hi-IN"/>
    </w:rPr>
  </w:style>
  <w:style w:type="character" w:customStyle="1" w:styleId="QuoteChar">
    <w:name w:val="Quote Char"/>
    <w:basedOn w:val="DefaultParagraphFont"/>
    <w:link w:val="Quote"/>
    <w:uiPriority w:val="29"/>
    <w:rsid w:val="000230B9"/>
    <w:rPr>
      <w:rFonts w:eastAsiaTheme="minorEastAsia"/>
      <w:b/>
      <w:i/>
      <w:iCs/>
      <w:color w:val="4F81BD" w:themeColor="accent1"/>
      <w:sz w:val="26"/>
      <w:lang w:bidi="hi-IN"/>
    </w:rPr>
  </w:style>
  <w:style w:type="paragraph" w:styleId="TOCHeading">
    <w:name w:val="TOC Heading"/>
    <w:basedOn w:val="Heading1"/>
    <w:next w:val="Normal"/>
    <w:uiPriority w:val="39"/>
    <w:semiHidden/>
    <w:unhideWhenUsed/>
    <w:qFormat/>
    <w:rsid w:val="000230B9"/>
    <w:pPr>
      <w:spacing w:line="264" w:lineRule="auto"/>
      <w:outlineLvl w:val="9"/>
    </w:pPr>
    <w:rPr>
      <w:b/>
    </w:rPr>
  </w:style>
  <w:style w:type="paragraph" w:customStyle="1" w:styleId="Citation">
    <w:name w:val="Citation"/>
    <w:basedOn w:val="BodyText"/>
    <w:link w:val="CitationChar"/>
    <w:pPr>
      <w:ind w:left="850" w:firstLine="0"/>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291D6C"/>
    <w:rPr>
      <w:color w:val="0000FF" w:themeColor="hyperlink"/>
      <w:u w:val="single"/>
    </w:rPr>
  </w:style>
  <w:style w:type="character" w:customStyle="1" w:styleId="TitleChar">
    <w:name w:val="Title Char"/>
    <w:basedOn w:val="DefaultParagraphFont"/>
    <w:link w:val="Title"/>
    <w:uiPriority w:val="10"/>
    <w:rsid w:val="00D46DA2"/>
    <w:rPr>
      <w:rFonts w:ascii="Arial" w:eastAsiaTheme="majorEastAsia" w:hAnsi="Arial" w:cstheme="majorBidi"/>
      <w:color w:val="000000" w:themeColor="text2"/>
      <w:kern w:val="32"/>
      <w:sz w:val="96"/>
      <w:szCs w:val="52"/>
    </w:rPr>
  </w:style>
  <w:style w:type="character" w:customStyle="1" w:styleId="Heading2Char">
    <w:name w:val="Heading 2 Char"/>
    <w:basedOn w:val="DefaultParagraphFont"/>
    <w:link w:val="Heading2"/>
    <w:uiPriority w:val="9"/>
    <w:rsid w:val="00D46DA2"/>
    <w:rPr>
      <w:rFonts w:ascii="Arial" w:eastAsiaTheme="majorEastAsia" w:hAnsi="Arial" w:cstheme="majorBidi"/>
      <w:b/>
      <w:bCs/>
      <w:smallCaps/>
      <w:color w:val="4F81BD"/>
      <w:szCs w:val="26"/>
    </w:rPr>
  </w:style>
  <w:style w:type="character" w:customStyle="1" w:styleId="Heading1Char">
    <w:name w:val="Heading 1 Char"/>
    <w:basedOn w:val="DefaultParagraphFont"/>
    <w:link w:val="Heading1"/>
    <w:uiPriority w:val="9"/>
    <w:rsid w:val="006865E4"/>
    <w:rPr>
      <w:rFonts w:ascii="Arial" w:eastAsiaTheme="majorEastAsia" w:hAnsi="Arial" w:cstheme="majorBidi"/>
      <w:bCs/>
      <w:caps/>
      <w:color w:val="4F81BD"/>
      <w:sz w:val="32"/>
      <w:szCs w:val="28"/>
    </w:rPr>
  </w:style>
  <w:style w:type="character" w:customStyle="1" w:styleId="Heading3Char">
    <w:name w:val="Heading 3 Char"/>
    <w:basedOn w:val="DefaultParagraphFont"/>
    <w:link w:val="Heading3"/>
    <w:uiPriority w:val="9"/>
    <w:rsid w:val="000230B9"/>
    <w:rPr>
      <w:rFonts w:asciiTheme="majorHAnsi" w:eastAsiaTheme="majorEastAsia" w:hAnsiTheme="majorHAnsi" w:cstheme="majorBidi"/>
      <w:bCs/>
      <w:color w:val="000000" w:themeColor="text2"/>
      <w:spacing w:val="14"/>
      <w:sz w:val="24"/>
    </w:rPr>
  </w:style>
  <w:style w:type="character" w:customStyle="1" w:styleId="Heading4Char">
    <w:name w:val="Heading 4 Char"/>
    <w:basedOn w:val="DefaultParagraphFont"/>
    <w:link w:val="Heading4"/>
    <w:uiPriority w:val="9"/>
    <w:rsid w:val="000230B9"/>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0230B9"/>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rsid w:val="000230B9"/>
    <w:rPr>
      <w:rFonts w:asciiTheme="majorHAnsi" w:eastAsiaTheme="majorEastAsia" w:hAnsiTheme="majorHAnsi" w:cstheme="majorBidi"/>
      <w:iCs/>
      <w:color w:val="4F81BD" w:themeColor="accent1"/>
    </w:rPr>
  </w:style>
  <w:style w:type="character" w:customStyle="1" w:styleId="Heading7Char">
    <w:name w:val="Heading 7 Char"/>
    <w:basedOn w:val="DefaultParagraphFont"/>
    <w:link w:val="Heading7"/>
    <w:uiPriority w:val="9"/>
    <w:rsid w:val="000230B9"/>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rsid w:val="000230B9"/>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rsid w:val="000230B9"/>
    <w:rPr>
      <w:rFonts w:asciiTheme="majorHAnsi" w:eastAsiaTheme="majorEastAsia" w:hAnsiTheme="majorHAnsi" w:cstheme="majorBidi"/>
      <w:i/>
      <w:iCs/>
      <w:color w:val="000000"/>
      <w:sz w:val="20"/>
      <w:szCs w:val="20"/>
    </w:rPr>
  </w:style>
  <w:style w:type="character" w:customStyle="1" w:styleId="SubtitleChar">
    <w:name w:val="Subtitle Char"/>
    <w:basedOn w:val="DefaultParagraphFont"/>
    <w:link w:val="Subtitle"/>
    <w:uiPriority w:val="11"/>
    <w:rsid w:val="000230B9"/>
    <w:rPr>
      <w:rFonts w:eastAsiaTheme="majorEastAsia" w:cstheme="majorBidi"/>
      <w:iCs/>
      <w:color w:val="000000" w:themeColor="text2"/>
      <w:sz w:val="40"/>
      <w:szCs w:val="24"/>
      <w:lang w:bidi="hi-IN"/>
    </w:rPr>
  </w:style>
  <w:style w:type="character" w:styleId="Strong">
    <w:name w:val="Strong"/>
    <w:basedOn w:val="DefaultParagraphFont"/>
    <w:uiPriority w:val="22"/>
    <w:qFormat/>
    <w:rsid w:val="000230B9"/>
    <w:rPr>
      <w:b w:val="0"/>
      <w:bCs/>
      <w:i/>
      <w:color w:val="000000" w:themeColor="text2"/>
    </w:rPr>
  </w:style>
  <w:style w:type="character" w:styleId="Emphasis">
    <w:name w:val="Emphasis"/>
    <w:basedOn w:val="DefaultParagraphFont"/>
    <w:uiPriority w:val="20"/>
    <w:qFormat/>
    <w:rsid w:val="000230B9"/>
    <w:rPr>
      <w:b/>
      <w:i/>
      <w:iCs/>
    </w:rPr>
  </w:style>
  <w:style w:type="character" w:customStyle="1" w:styleId="NoSpacingChar">
    <w:name w:val="No Spacing Char"/>
    <w:basedOn w:val="DefaultParagraphFont"/>
    <w:link w:val="NoSpacing"/>
    <w:uiPriority w:val="1"/>
    <w:rsid w:val="000230B9"/>
  </w:style>
  <w:style w:type="character" w:styleId="SubtleEmphasis">
    <w:name w:val="Subtle Emphasis"/>
    <w:basedOn w:val="DefaultParagraphFont"/>
    <w:uiPriority w:val="19"/>
    <w:qFormat/>
    <w:rsid w:val="000230B9"/>
    <w:rPr>
      <w:i/>
      <w:iCs/>
      <w:color w:val="000000"/>
    </w:rPr>
  </w:style>
  <w:style w:type="character" w:styleId="IntenseEmphasis">
    <w:name w:val="Intense Emphasis"/>
    <w:basedOn w:val="DefaultParagraphFont"/>
    <w:uiPriority w:val="21"/>
    <w:qFormat/>
    <w:rsid w:val="000230B9"/>
    <w:rPr>
      <w:b/>
      <w:bCs/>
      <w:i/>
      <w:iCs/>
      <w:color w:val="4F81BD" w:themeColor="accent1"/>
    </w:rPr>
  </w:style>
  <w:style w:type="character" w:styleId="SubtleReference">
    <w:name w:val="Subtle Reference"/>
    <w:basedOn w:val="DefaultParagraphFont"/>
    <w:uiPriority w:val="31"/>
    <w:qFormat/>
    <w:rsid w:val="000230B9"/>
    <w:rPr>
      <w:smallCaps/>
      <w:color w:val="000000"/>
      <w:u w:val="single"/>
    </w:rPr>
  </w:style>
  <w:style w:type="character" w:styleId="IntenseReference">
    <w:name w:val="Intense Reference"/>
    <w:basedOn w:val="DefaultParagraphFont"/>
    <w:uiPriority w:val="32"/>
    <w:qFormat/>
    <w:rsid w:val="000230B9"/>
    <w:rPr>
      <w:b w:val="0"/>
      <w:bCs/>
      <w:smallCaps/>
      <w:color w:val="4F81BD" w:themeColor="accent1"/>
      <w:spacing w:val="5"/>
      <w:u w:val="single"/>
    </w:rPr>
  </w:style>
  <w:style w:type="character" w:styleId="BookTitle">
    <w:name w:val="Book Title"/>
    <w:basedOn w:val="DefaultParagraphFont"/>
    <w:uiPriority w:val="33"/>
    <w:qFormat/>
    <w:rsid w:val="000230B9"/>
    <w:rPr>
      <w:b/>
      <w:bCs/>
      <w:caps/>
      <w:smallCaps w:val="0"/>
      <w:color w:val="000000" w:themeColor="text2"/>
      <w:spacing w:val="10"/>
    </w:rPr>
  </w:style>
  <w:style w:type="table" w:styleId="TableGrid">
    <w:name w:val="Table Grid"/>
    <w:basedOn w:val="TableNormal"/>
    <w:uiPriority w:val="59"/>
    <w:rsid w:val="001D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7333"/>
    <w:rPr>
      <w:sz w:val="16"/>
      <w:szCs w:val="16"/>
    </w:rPr>
  </w:style>
  <w:style w:type="character" w:customStyle="1" w:styleId="BodyTextChar">
    <w:name w:val="Body Text Char"/>
    <w:basedOn w:val="DefaultParagraphFont"/>
    <w:link w:val="BodyText"/>
    <w:rsid w:val="000D4315"/>
    <w:rPr>
      <w:sz w:val="21"/>
    </w:rPr>
  </w:style>
  <w:style w:type="paragraph" w:customStyle="1" w:styleId="bodytext0">
    <w:name w:val="bodytext"/>
    <w:basedOn w:val="Normal"/>
    <w:rsid w:val="009A658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B17CEA"/>
    <w:pPr>
      <w:spacing w:after="0" w:line="240" w:lineRule="auto"/>
    </w:pPr>
    <w:rPr>
      <w:sz w:val="21"/>
    </w:rPr>
  </w:style>
  <w:style w:type="character" w:styleId="FollowedHyperlink">
    <w:name w:val="FollowedHyperlink"/>
    <w:basedOn w:val="DefaultParagraphFont"/>
    <w:uiPriority w:val="99"/>
    <w:semiHidden/>
    <w:unhideWhenUsed/>
    <w:rsid w:val="000822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97079">
      <w:bodyDiv w:val="1"/>
      <w:marLeft w:val="0"/>
      <w:marRight w:val="0"/>
      <w:marTop w:val="0"/>
      <w:marBottom w:val="0"/>
      <w:divBdr>
        <w:top w:val="none" w:sz="0" w:space="0" w:color="auto"/>
        <w:left w:val="none" w:sz="0" w:space="0" w:color="auto"/>
        <w:bottom w:val="none" w:sz="0" w:space="0" w:color="auto"/>
        <w:right w:val="none" w:sz="0" w:space="0" w:color="auto"/>
      </w:divBdr>
    </w:div>
    <w:div w:id="151206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oecd-ilibrary.org/taxation/revenue-statistics-in-latin-america-2014_9789264207943-en-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oecd.org/ctp/tax-policy/revenue-statistics-19963726.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ecd.org/trade/valueadde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tats.oecd.org/Index.aspx?lang=en&amp;SubSessionId=bce616ae-0181-41e1-aae7-4d820bbd68e1&amp;themetreeid=18"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ecd.org/tax/tax-policy/revenue-statistics-asian-countries.htm" TargetMode="External"/></Relationships>
</file>

<file path=word/theme/theme1.xml><?xml version="1.0" encoding="utf-8"?>
<a:theme xmlns:a="http://schemas.openxmlformats.org/drawingml/2006/main" name="Office Theme">
  <a:themeElements>
    <a:clrScheme name="OCDE_Office_FR 1">
      <a:dk1>
        <a:sysClr val="windowText" lastClr="000000"/>
      </a:dk1>
      <a:lt1>
        <a:sysClr val="window" lastClr="FFFFFF"/>
      </a:lt1>
      <a:dk2>
        <a:srgbClr val="000000"/>
      </a:dk2>
      <a:lt2>
        <a:srgbClr val="7F7F7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C0E8B6E721C34F8190E3F322A29461" ma:contentTypeVersion="9" ma:contentTypeDescription="Create a new document." ma:contentTypeScope="" ma:versionID="d8d8937a93cbada8886b544503a8867c">
  <xsd:schema xmlns:xsd="http://www.w3.org/2001/XMLSchema" xmlns:p="http://schemas.microsoft.com/office/2006/metadata/properties" xmlns:ns1="http://schemas.microsoft.com/sharepoint/v3" xmlns:ns2="a5e67e84-f7f7-4acb-b63e-acd964661c2b" targetNamespace="http://schemas.microsoft.com/office/2006/metadata/properties" ma:root="true" ma:fieldsID="4e0218ac33dbac92e5776439ce4642b2" ns1:_="" ns2:_="">
    <xsd:import namespace="http://schemas.microsoft.com/sharepoint/v3"/>
    <xsd:import namespace="a5e67e84-f7f7-4acb-b63e-acd964661c2b"/>
    <xsd:element name="properties">
      <xsd:complexType>
        <xsd:sequence>
          <xsd:element name="documentManagement">
            <xsd:complexType>
              <xsd:all>
                <xsd:element ref="ns2:Topicss" minOccurs="0"/>
                <xsd:element ref="ns2:Language" minOccurs="0"/>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4" nillable="true" ma:displayName="E-Mail Sender" ma:hidden="true" ma:internalName="EmailSender">
      <xsd:simpleType>
        <xsd:restriction base="dms:Note"/>
      </xsd:simpleType>
    </xsd:element>
    <xsd:element name="EmailTo" ma:index="5" nillable="true" ma:displayName="E-Mail To" ma:hidden="true" ma:internalName="EmailTo">
      <xsd:simpleType>
        <xsd:restriction base="dms:Note"/>
      </xsd:simpleType>
    </xsd:element>
    <xsd:element name="EmailCc" ma:index="6" nillable="true" ma:displayName="E-Mail Cc" ma:hidden="true" ma:internalName="EmailCc">
      <xsd:simpleType>
        <xsd:restriction base="dms:Note"/>
      </xsd:simpleType>
    </xsd:element>
    <xsd:element name="EmailFrom" ma:index="7" nillable="true" ma:displayName="E-Mail From" ma:hidden="true" ma:internalName="EmailFrom">
      <xsd:simpleType>
        <xsd:restriction base="dms:Text"/>
      </xsd:simpleType>
    </xsd:element>
    <xsd:element name="EmailSubject" ma:index="8" nillable="true" ma:displayName="E-Mail Subject" ma:hidden="true" ma:internalName="EmailSubject">
      <xsd:simpleType>
        <xsd:restriction base="dms:Text"/>
      </xsd:simpleType>
    </xsd:element>
  </xsd:schema>
  <xsd:schema xmlns:xsd="http://www.w3.org/2001/XMLSchema" xmlns:dms="http://schemas.microsoft.com/office/2006/documentManagement/types" targetNamespace="a5e67e84-f7f7-4acb-b63e-acd964661c2b" elementFormDefault="qualified">
    <xsd:import namespace="http://schemas.microsoft.com/office/2006/documentManagement/types"/>
    <xsd:element name="Topicss" ma:index="2" nillable="true" ma:displayName="Topics" ma:list="{caa99bb9-4ed2-499a-aee7-d64b1389d1d4}" ma:internalName="Topicss" ma:readOnly="false" ma:showField="Title">
      <xsd:simpleType>
        <xsd:restriction base="dms:Lookup"/>
      </xsd:simpleType>
    </xsd:element>
    <xsd:element name="Language" ma:index="3" nillable="true" ma:displayName="Language" ma:default="English" ma:description="Choose your document language" ma:format="Dropdown" ma:internalName="Language">
      <xsd:simpleType>
        <xsd:restriction base="dms:Choice">
          <xsd:enumeration value="English"/>
          <xsd:enumeration value="French"/>
          <xsd:enumeration value="Spanish"/>
          <xsd:enumeration value="Portuguese"/>
          <xsd:enumeration value="German"/>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Topicss xmlns="a5e67e84-f7f7-4acb-b63e-acd964661c2b">4</Topicss>
    <Language xmlns="a5e67e84-f7f7-4acb-b63e-acd964661c2b">English</Language>
  </documentManagement>
</p:properties>
</file>

<file path=customXml/item4.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BCA0D7B3-44C5-4B8E-BFD8-168CE1B3C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e67e84-f7f7-4acb-b63e-acd964661c2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6EC3423-4979-4B3D-A72E-486717EC8437}">
  <ds:schemaRefs>
    <ds:schemaRef ds:uri="http://schemas.microsoft.com/sharepoint/v3/contenttype/forms"/>
  </ds:schemaRefs>
</ds:datastoreItem>
</file>

<file path=customXml/itemProps3.xml><?xml version="1.0" encoding="utf-8"?>
<ds:datastoreItem xmlns:ds="http://schemas.openxmlformats.org/officeDocument/2006/customXml" ds:itemID="{CE05A627-56EF-4208-A1F6-10CA9F0238B0}">
  <ds:schemaRefs>
    <ds:schemaRef ds:uri="http://schemas.microsoft.com/office/2006/metadata/properties"/>
    <ds:schemaRef ds:uri="http://schemas.microsoft.com/sharepoint/v3"/>
    <ds:schemaRef ds:uri="a5e67e84-f7f7-4acb-b63e-acd964661c2b"/>
  </ds:schemaRefs>
</ds:datastoreItem>
</file>

<file path=customXml/itemProps4.xml><?xml version="1.0" encoding="utf-8"?>
<ds:datastoreItem xmlns:ds="http://schemas.openxmlformats.org/officeDocument/2006/customXml" ds:itemID="{6624B3E4-768C-4BF1-AC8E-FAFCE9CC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Revenue Statistics Global ENG</vt:lpstr>
      <vt:lpstr/>
    </vt:vector>
  </TitlesOfParts>
  <Company>O.E.C.D.</Company>
  <LinksUpToDate>false</LinksUpToDate>
  <CharactersWithSpaces>13273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Revenue Statistics Global ENG</dc:title>
  <dc:creator>SOCHAY Violet</dc:creator>
  <cp:lastModifiedBy>Benjamin Rae</cp:lastModifiedBy>
  <cp:revision>2</cp:revision>
  <cp:lastPrinted>2015-05-13T15:47:00Z</cp:lastPrinted>
  <dcterms:created xsi:type="dcterms:W3CDTF">2015-05-20T16:30:00Z</dcterms:created>
  <dcterms:modified xsi:type="dcterms:W3CDTF">2015-05-20T16:30:00Z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y fmtid="{D5CDD505-2E9C-101B-9397-08002B2CF9AE}" pid="5" name="ContentTypeId">
    <vt:lpwstr>0x010100E8C0E8B6E721C34F8190E3F322A29461</vt:lpwstr>
  </property>
</Properties>
</file>